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57"/>
        <w:ind w:firstLine="0"/>
        <w:jc w:val="both"/>
        <w:rPr>
          <w:rFonts w:hint="eastAsia" w:ascii="宋体" w:hAnsi="宋体" w:eastAsia="宋体" w:cs="宋体"/>
          <w:b/>
          <w:bCs/>
          <w:color w:val="auto"/>
          <w:spacing w:val="80"/>
          <w:sz w:val="72"/>
          <w:szCs w:val="72"/>
          <w:highlight w:val="none"/>
        </w:rPr>
      </w:pPr>
      <w:r>
        <w:rPr>
          <w:rFonts w:hint="eastAsia" w:ascii="宋体" w:hAnsi="宋体" w:eastAsia="宋体" w:cs="宋体"/>
          <w:b/>
          <w:bCs/>
          <w:color w:val="auto"/>
          <w:spacing w:val="80"/>
          <w:sz w:val="72"/>
          <w:szCs w:val="72"/>
          <w:highlight w:val="none"/>
        </w:rPr>
      </w:r>
      <w:r/>
    </w:p>
    <w:p>
      <w:pPr>
        <w:pStyle w:val="957"/>
        <w:ind w:firstLine="0"/>
        <w:jc w:val="center"/>
        <w:rPr>
          <w:rFonts w:hint="eastAsia" w:ascii="宋体" w:hAnsi="宋体" w:eastAsia="宋体" w:cs="宋体"/>
          <w:b/>
          <w:color w:val="auto"/>
          <w:sz w:val="52"/>
          <w:szCs w:val="52"/>
          <w:highlight w:val="none"/>
        </w:rPr>
      </w:pPr>
      <w:r>
        <w:rPr>
          <w:rFonts w:hint="eastAsia" w:ascii="宋体" w:hAnsi="宋体" w:eastAsia="宋体" w:cs="宋体"/>
          <w:b/>
          <w:bCs/>
          <w:color w:val="auto"/>
          <w:spacing w:val="80"/>
          <w:sz w:val="72"/>
          <w:szCs w:val="72"/>
          <w:highlight w:val="none"/>
        </w:rPr>
        <w:t xml:space="preserve">连云港市政府采购</w:t>
      </w:r>
      <w:r/>
    </w:p>
    <w:p>
      <w:pPr>
        <w:pStyle w:val="957"/>
        <w:ind w:firstLine="0"/>
        <w:jc w:val="center"/>
        <w:rPr>
          <w:rFonts w:hint="eastAsia" w:ascii="宋体" w:hAnsi="宋体" w:eastAsia="宋体" w:cs="宋体"/>
          <w:b/>
          <w:color w:val="auto"/>
          <w:sz w:val="52"/>
          <w:szCs w:val="52"/>
          <w:highlight w:val="none"/>
        </w:rPr>
      </w:pPr>
      <w:r>
        <w:rPr>
          <w:rFonts w:hint="eastAsia" w:ascii="宋体" w:hAnsi="宋体" w:eastAsia="宋体" w:cs="宋体"/>
          <w:b/>
          <w:color w:val="auto"/>
          <w:sz w:val="52"/>
          <w:szCs w:val="52"/>
          <w:highlight w:val="none"/>
        </w:rPr>
      </w:r>
      <w:r/>
    </w:p>
    <w:p>
      <w:pPr>
        <w:pStyle w:val="957"/>
        <w:ind w:firstLine="0"/>
        <w:jc w:val="center"/>
        <w:rPr>
          <w:rFonts w:hint="eastAsia" w:ascii="宋体" w:hAnsi="宋体" w:eastAsia="宋体" w:cs="宋体"/>
          <w:b/>
          <w:bCs/>
          <w:color w:val="auto"/>
          <w:sz w:val="72"/>
          <w:szCs w:val="72"/>
          <w:highlight w:val="none"/>
        </w:rPr>
      </w:pPr>
      <w:r/>
      <w:bookmarkStart w:id="0" w:name="_Toc19999"/>
      <w:r>
        <w:rPr>
          <w:rFonts w:hint="eastAsia" w:ascii="宋体" w:hAnsi="宋体" w:eastAsia="宋体" w:cs="宋体"/>
          <w:b/>
          <w:bCs/>
          <w:color w:val="auto"/>
          <w:sz w:val="72"/>
          <w:szCs w:val="72"/>
          <w:highlight w:val="none"/>
        </w:rPr>
        <w:t xml:space="preserve">竞争性磋商文件</w:t>
      </w:r>
      <w:bookmarkEnd w:id="0"/>
      <w:r/>
      <w:r/>
    </w:p>
    <w:p>
      <w:pPr>
        <w:pStyle w:val="957"/>
        <w:ind w:firstLine="0"/>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957"/>
        <w:ind w:firstLine="0"/>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tbl>
      <w:tblPr>
        <w:tblStyle w:val="726"/>
        <w:tblW w:w="4999" w:type="pct"/>
        <w:jc w:val="center"/>
        <w:tblLayout w:type="autofit"/>
        <w:tblCellMar>
          <w:left w:w="108" w:type="dxa"/>
          <w:top w:w="0" w:type="dxa"/>
          <w:right w:w="108" w:type="dxa"/>
          <w:bottom w:w="0" w:type="dxa"/>
        </w:tblCellMar>
        <w:tblLook w:val="04A0" w:firstRow="1" w:lastRow="0" w:firstColumn="1" w:lastColumn="0" w:noHBand="0" w:noVBand="1"/>
      </w:tblPr>
      <w:tblGrid>
        <w:gridCol w:w="2297"/>
        <w:gridCol w:w="7663"/>
      </w:tblGrid>
      <w:tr>
        <w:trPr>
          <w:jc w:val="center"/>
          <w:trHeight w:val="855"/>
        </w:trPr>
        <w:tc>
          <w:tcPr>
            <w:tcW w:w="1153" w:type="pct"/>
            <w:vAlign w:val="center"/>
            <w:textDirection w:val="lrTb"/>
            <w:noWrap/>
          </w:tcPr>
          <w:p>
            <w:pPr>
              <w:jc w:val="center"/>
              <w:spacing w:line="360" w:lineRule="auto"/>
              <w:rPr>
                <w:rFonts w:hint="eastAsia" w:ascii="宋体" w:hAnsi="宋体" w:eastAsia="宋体" w:cs="宋体"/>
                <w:b/>
                <w:bCs/>
                <w:color w:val="auto"/>
                <w:spacing w:val="16"/>
                <w:sz w:val="32"/>
                <w:szCs w:val="32"/>
                <w:highlight w:val="none"/>
              </w:rPr>
            </w:pPr>
            <w:r>
              <w:rPr>
                <w:rFonts w:hint="eastAsia" w:ascii="宋体" w:hAnsi="宋体" w:eastAsia="宋体" w:cs="宋体"/>
                <w:b/>
                <w:bCs/>
                <w:color w:val="auto"/>
                <w:spacing w:val="16"/>
                <w:sz w:val="32"/>
                <w:szCs w:val="32"/>
                <w:highlight w:val="none"/>
              </w:rPr>
              <w:t xml:space="preserve">项目名称：</w:t>
            </w:r>
            <w:r/>
          </w:p>
        </w:tc>
        <w:tc>
          <w:tcPr>
            <w:tcW w:w="3846" w:type="pct"/>
            <w:vAlign w:val="center"/>
            <w:textDirection w:val="lrTb"/>
            <w:noWrap/>
          </w:tcPr>
          <w:p>
            <w:pPr>
              <w:spacing w:line="360" w:lineRule="auto"/>
              <w:rPr>
                <w:rFonts w:hint="eastAsia" w:ascii="宋体" w:hAnsi="宋体" w:eastAsia="宋体" w:cs="宋体"/>
                <w:b/>
                <w:bCs/>
                <w:color w:val="auto"/>
                <w:spacing w:val="16"/>
                <w:sz w:val="32"/>
                <w:szCs w:val="32"/>
                <w:highlight w:val="none"/>
                <w:lang w:eastAsia="zh-CN"/>
              </w:rPr>
            </w:pPr>
            <w:r>
              <w:rPr>
                <w:rFonts w:hint="eastAsia" w:ascii="宋体" w:hAnsi="宋体" w:cs="宋体"/>
                <w:b/>
                <w:bCs/>
                <w:color w:val="auto"/>
                <w:sz w:val="32"/>
                <w:highlight w:val="none"/>
                <w:lang w:eastAsia="zh-CN"/>
              </w:rPr>
              <w:t xml:space="preserve">2023年地膜科学使用回收试点项目</w:t>
            </w:r>
            <w:r/>
          </w:p>
        </w:tc>
      </w:tr>
      <w:tr>
        <w:trPr>
          <w:jc w:val="center"/>
          <w:trHeight w:val="855"/>
        </w:trPr>
        <w:tc>
          <w:tcPr>
            <w:tcW w:w="1153" w:type="pct"/>
            <w:vAlign w:val="center"/>
            <w:textDirection w:val="lrTb"/>
            <w:noWrap/>
          </w:tcPr>
          <w:p>
            <w:pPr>
              <w:jc w:val="center"/>
              <w:spacing w:line="360" w:lineRule="auto"/>
              <w:rPr>
                <w:rFonts w:hint="eastAsia" w:ascii="宋体" w:hAnsi="宋体" w:eastAsia="宋体" w:cs="宋体"/>
                <w:b/>
                <w:bCs/>
                <w:color w:val="auto"/>
                <w:spacing w:val="16"/>
                <w:sz w:val="32"/>
                <w:szCs w:val="32"/>
                <w:highlight w:val="none"/>
              </w:rPr>
            </w:pPr>
            <w:r>
              <w:rPr>
                <w:rFonts w:hint="eastAsia" w:ascii="宋体" w:hAnsi="宋体" w:eastAsia="宋体" w:cs="宋体"/>
                <w:b/>
                <w:bCs/>
                <w:color w:val="auto"/>
                <w:spacing w:val="16"/>
                <w:sz w:val="32"/>
                <w:szCs w:val="32"/>
                <w:highlight w:val="none"/>
              </w:rPr>
              <w:t xml:space="preserve">项目编号：</w:t>
            </w:r>
            <w:r/>
          </w:p>
        </w:tc>
        <w:tc>
          <w:tcPr>
            <w:tcW w:w="3846" w:type="pct"/>
            <w:vAlign w:val="center"/>
            <w:textDirection w:val="lrTb"/>
            <w:noWrap/>
          </w:tcPr>
          <w:p>
            <w:pPr>
              <w:spacing w:line="360" w:lineRule="auto"/>
              <w:rPr>
                <w:rFonts w:hint="eastAsia" w:ascii="宋体" w:hAnsi="宋体" w:eastAsia="宋体" w:cs="宋体"/>
                <w:b/>
                <w:bCs/>
                <w:color w:val="auto"/>
                <w:spacing w:val="16"/>
                <w:sz w:val="32"/>
                <w:szCs w:val="32"/>
                <w:highlight w:val="none"/>
                <w:lang w:eastAsia="zh-CN"/>
              </w:rPr>
            </w:pPr>
            <w:r>
              <w:rPr>
                <w:rFonts w:hint="eastAsia" w:ascii="宋体" w:hAnsi="宋体" w:eastAsia="宋体" w:cs="宋体"/>
                <w:b/>
                <w:bCs/>
                <w:color w:val="auto"/>
                <w:spacing w:val="16"/>
                <w:sz w:val="32"/>
                <w:szCs w:val="32"/>
                <w:highlight w:val="none"/>
                <w:lang w:eastAsia="zh-CN"/>
              </w:rPr>
              <w:t xml:space="preserve">JSZC-320707-YGHZ-C2025-0004</w:t>
            </w:r>
            <w:r/>
          </w:p>
        </w:tc>
      </w:tr>
    </w:tbl>
    <w:p>
      <w:pPr>
        <w:pStyle w:val="957"/>
        <w:ind w:firstLine="0"/>
        <w:jc w:val="center"/>
        <w:rPr>
          <w:rFonts w:hint="eastAsia" w:ascii="宋体" w:hAnsi="宋体" w:eastAsia="宋体" w:cs="宋体"/>
          <w:b/>
          <w:bCs/>
          <w:color w:val="auto"/>
          <w:sz w:val="32"/>
          <w:highlight w:val="none"/>
          <w:u w:val="single"/>
        </w:rPr>
      </w:pPr>
      <w:r>
        <w:rPr>
          <w:rFonts w:hint="eastAsia" w:ascii="宋体" w:hAnsi="宋体" w:eastAsia="宋体" w:cs="宋体"/>
          <w:b/>
          <w:bCs/>
          <w:color w:val="auto"/>
          <w:sz w:val="32"/>
          <w:highlight w:val="none"/>
          <w:u w:val="single"/>
        </w:rPr>
      </w:r>
      <w:r/>
    </w:p>
    <w:p>
      <w:pPr>
        <w:pStyle w:val="957"/>
        <w:ind w:firstLine="0"/>
        <w:jc w:val="center"/>
        <w:rPr>
          <w:rFonts w:hint="eastAsia" w:ascii="宋体" w:hAnsi="宋体" w:eastAsia="宋体" w:cs="宋体"/>
          <w:b/>
          <w:bCs/>
          <w:color w:val="auto"/>
          <w:sz w:val="32"/>
          <w:highlight w:val="none"/>
        </w:rPr>
      </w:pPr>
      <w:r>
        <w:rPr>
          <w:rFonts w:hint="eastAsia" w:ascii="宋体" w:hAnsi="宋体" w:eastAsia="宋体" w:cs="宋体"/>
          <w:b/>
          <w:bCs/>
          <w:color w:val="auto"/>
          <w:sz w:val="32"/>
          <w:highlight w:val="none"/>
        </w:rPr>
      </w:r>
      <w:r/>
    </w:p>
    <w:tbl>
      <w:tblPr>
        <w:tblStyle w:val="726"/>
        <w:tblW w:w="4999" w:type="pct"/>
        <w:tblInd w:w="0" w:type="dxa"/>
        <w:tblBorders>
          <w:top w:val="single" w:color="auto" w:sz="18"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2624"/>
        <w:gridCol w:w="7336"/>
      </w:tblGrid>
      <w:tr>
        <w:trPr>
          <w:trHeight w:val="827"/>
        </w:trPr>
        <w:tc>
          <w:tcPr>
            <w:tcW w:w="1317" w:type="pct"/>
            <w:vAlign w:val="center"/>
            <w:textDirection w:val="lrTb"/>
            <w:noWrap/>
          </w:tcPr>
          <w:p>
            <w:pPr>
              <w:jc w:val="center"/>
              <w:spacing w:line="360" w:lineRule="auto"/>
              <w:rPr>
                <w:rFonts w:hint="eastAsia" w:ascii="宋体" w:hAnsi="宋体" w:eastAsia="宋体" w:cs="宋体"/>
                <w:color w:val="auto"/>
                <w:highlight w:val="none"/>
              </w:rPr>
            </w:pPr>
            <w:r/>
            <w:bookmarkStart w:id="1" w:name="OLE_LINK4"/>
            <w:r/>
            <w:bookmarkStart w:id="2" w:name="OLE_LINK31"/>
            <w:r>
              <w:rPr>
                <w:rFonts w:hint="eastAsia" w:ascii="宋体" w:hAnsi="宋体" w:eastAsia="宋体" w:cs="宋体"/>
                <w:b/>
                <w:bCs/>
                <w:color w:val="auto"/>
                <w:sz w:val="32"/>
                <w:highlight w:val="none"/>
              </w:rPr>
              <w:t xml:space="preserve">采   购   人：</w:t>
            </w:r>
            <w:bookmarkEnd w:id="1"/>
            <w:r/>
            <w:bookmarkEnd w:id="2"/>
            <w:r/>
            <w:r/>
          </w:p>
        </w:tc>
        <w:tc>
          <w:tcPr>
            <w:tcW w:w="3682" w:type="pct"/>
            <w:vAlign w:val="center"/>
            <w:textDirection w:val="lrTb"/>
            <w:noWrap/>
          </w:tcPr>
          <w:p>
            <w:pPr>
              <w:pStyle w:val="741"/>
              <w:spacing w:line="360" w:lineRule="auto"/>
              <w:rPr>
                <w:rFonts w:hint="eastAsia" w:ascii="宋体" w:hAnsi="宋体" w:eastAsia="宋体" w:cs="宋体"/>
                <w:b/>
                <w:bCs/>
                <w:color w:val="auto"/>
                <w:sz w:val="32"/>
                <w:szCs w:val="32"/>
                <w:highlight w:val="none"/>
                <w:lang w:eastAsia="zh-CN"/>
              </w:rPr>
            </w:pPr>
            <w:r>
              <w:rPr>
                <w:rFonts w:hint="eastAsia" w:ascii="宋体" w:hAnsi="宋体" w:eastAsia="宋体" w:cs="宋体"/>
                <w:b/>
                <w:bCs/>
                <w:color w:val="auto"/>
                <w:sz w:val="32"/>
                <w:szCs w:val="32"/>
                <w:highlight w:val="none"/>
                <w:lang w:eastAsia="zh-CN"/>
              </w:rPr>
              <w:t xml:space="preserve">连云港市赣榆区农村能源环境保护办公室</w:t>
            </w:r>
            <w:r/>
          </w:p>
        </w:tc>
      </w:tr>
      <w:tr>
        <w:trPr>
          <w:trHeight w:val="797"/>
        </w:trPr>
        <w:tc>
          <w:tcPr>
            <w:tcW w:w="1317" w:type="pct"/>
            <w:vAlign w:val="center"/>
            <w:textDirection w:val="lrTb"/>
            <w:noWrap/>
          </w:tcPr>
          <w:p>
            <w:pPr>
              <w:jc w:val="center"/>
              <w:spacing w:line="360" w:lineRule="auto"/>
              <w:rPr>
                <w:rFonts w:hint="eastAsia" w:ascii="宋体" w:hAnsi="宋体" w:eastAsia="宋体" w:cs="宋体"/>
                <w:color w:val="auto"/>
                <w:highlight w:val="none"/>
              </w:rPr>
            </w:pPr>
            <w:r>
              <w:rPr>
                <w:rFonts w:hint="eastAsia" w:ascii="宋体" w:hAnsi="宋体" w:eastAsia="宋体" w:cs="宋体"/>
                <w:b/>
                <w:bCs/>
                <w:color w:val="auto"/>
                <w:sz w:val="32"/>
                <w:highlight w:val="none"/>
              </w:rPr>
              <w:t xml:space="preserve">采购代理机构：</w:t>
            </w:r>
            <w:r/>
          </w:p>
        </w:tc>
        <w:tc>
          <w:tcPr>
            <w:tcW w:w="3682" w:type="pct"/>
            <w:vAlign w:val="center"/>
            <w:textDirection w:val="lrTb"/>
            <w:noWrap/>
          </w:tcPr>
          <w:p>
            <w:pPr>
              <w:pStyle w:val="741"/>
              <w:spacing w:line="360" w:lineRule="auto"/>
              <w:rPr>
                <w:rFonts w:hint="eastAsia" w:ascii="宋体" w:hAnsi="宋体" w:eastAsia="宋体" w:cs="宋体"/>
                <w:b/>
                <w:bCs/>
                <w:color w:val="auto"/>
                <w:sz w:val="28"/>
                <w:szCs w:val="28"/>
                <w:highlight w:val="none"/>
                <w:lang w:eastAsia="zh-CN"/>
              </w:rPr>
            </w:pPr>
            <w:r>
              <w:rPr>
                <w:rFonts w:hint="eastAsia" w:hAnsi="宋体" w:cs="宋体"/>
                <w:b/>
                <w:bCs/>
                <w:color w:val="auto"/>
                <w:spacing w:val="20"/>
                <w:sz w:val="32"/>
                <w:highlight w:val="none"/>
                <w:lang w:eastAsia="zh-CN"/>
              </w:rPr>
              <w:t xml:space="preserve">连云港衡致工程造价咨询有限公司</w:t>
            </w:r>
            <w:r/>
          </w:p>
        </w:tc>
      </w:tr>
    </w:tbl>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bl>
      <w:tblPr>
        <w:tblStyle w:val="726"/>
        <w:tblW w:w="4428" w:type="dxa"/>
        <w:jc w:val="center"/>
        <w:tblLayout w:type="fixed"/>
        <w:tblCellMar>
          <w:left w:w="108" w:type="dxa"/>
          <w:top w:w="0" w:type="dxa"/>
          <w:right w:w="108" w:type="dxa"/>
          <w:bottom w:w="0" w:type="dxa"/>
        </w:tblCellMar>
        <w:tblLook w:val="04A0" w:firstRow="1" w:lastRow="0" w:firstColumn="1" w:lastColumn="0" w:noHBand="0" w:noVBand="1"/>
      </w:tblPr>
      <w:tblGrid>
        <w:gridCol w:w="4428"/>
      </w:tblGrid>
      <w:tr>
        <w:trPr>
          <w:jc w:val="center"/>
          <w:trHeight w:val="385"/>
        </w:trPr>
        <w:tc>
          <w:tcPr>
            <w:tcW w:w="4428" w:type="dxa"/>
            <w:textDirection w:val="lrTb"/>
            <w:noWrap/>
          </w:tcPr>
          <w:p>
            <w:pPr>
              <w:pStyle w:val="741"/>
              <w:jc w:val="center"/>
              <w:spacing w:line="360" w:lineRule="auto"/>
              <w:rPr>
                <w:rFonts w:hint="eastAsia" w:ascii="宋体" w:hAnsi="宋体" w:eastAsia="宋体" w:cs="宋体"/>
                <w:b/>
                <w:color w:val="auto"/>
                <w:sz w:val="32"/>
                <w:szCs w:val="32"/>
                <w:highlight w:val="none"/>
              </w:rPr>
            </w:pPr>
            <w:r/>
            <w:bookmarkStart w:id="3" w:name="OLE_LINK12"/>
            <w:r/>
            <w:bookmarkStart w:id="4" w:name="OLE_LINK35"/>
            <w:r>
              <w:rPr>
                <w:rFonts w:hint="eastAsia" w:ascii="宋体" w:hAnsi="宋体" w:eastAsia="宋体" w:cs="宋体"/>
                <w:b/>
                <w:color w:val="auto"/>
                <w:sz w:val="32"/>
                <w:szCs w:val="32"/>
                <w:highlight w:val="none"/>
              </w:rPr>
              <w:t xml:space="preserve">202</w:t>
            </w:r>
            <w:r>
              <w:rPr>
                <w:rFonts w:hint="eastAsia" w:ascii="宋体" w:hAnsi="宋体" w:eastAsia="宋体" w:cs="宋体"/>
                <w:b/>
                <w:color w:val="auto"/>
                <w:sz w:val="32"/>
                <w:szCs w:val="32"/>
                <w:highlight w:val="none"/>
                <w:lang w:val="en-US" w:eastAsia="zh-CN"/>
              </w:rPr>
              <w:t xml:space="preserve">5</w:t>
            </w:r>
            <w:r>
              <w:rPr>
                <w:rFonts w:hint="eastAsia" w:ascii="宋体" w:hAnsi="宋体" w:eastAsia="宋体" w:cs="宋体"/>
                <w:b/>
                <w:color w:val="auto"/>
                <w:sz w:val="32"/>
                <w:szCs w:val="32"/>
                <w:highlight w:val="none"/>
              </w:rPr>
              <w:t xml:space="preserve">年</w:t>
            </w:r>
            <w:bookmarkEnd w:id="3"/>
            <w:r/>
            <w:bookmarkEnd w:id="4"/>
            <w:r>
              <w:rPr>
                <w:rFonts w:hint="eastAsia" w:hAnsi="宋体" w:cs="宋体"/>
                <w:b/>
                <w:color w:val="auto"/>
                <w:sz w:val="32"/>
                <w:szCs w:val="32"/>
                <w:highlight w:val="none"/>
                <w:lang w:val="en-US" w:eastAsia="zh-CN"/>
              </w:rPr>
              <w:t xml:space="preserve">12月</w:t>
            </w:r>
            <w:r/>
          </w:p>
        </w:tc>
      </w:tr>
    </w:tbl>
    <w:p>
      <w:pPr>
        <w:rPr>
          <w:rFonts w:hint="eastAsia" w:ascii="宋体" w:hAnsi="宋体" w:eastAsia="宋体" w:cs="宋体"/>
          <w:b/>
          <w:color w:val="auto"/>
          <w:sz w:val="44"/>
          <w:szCs w:val="21"/>
          <w:highlight w:val="none"/>
        </w:rPr>
      </w:pPr>
      <w:r/>
      <w:bookmarkStart w:id="5" w:name="_Toc1185"/>
      <w:r/>
      <w:bookmarkEnd w:id="5"/>
      <w:r/>
      <w:bookmarkStart w:id="6" w:name="_Toc32753"/>
      <w:r/>
      <w:bookmarkEnd w:id="6"/>
      <w:r/>
      <w:bookmarkStart w:id="7" w:name="_Toc28507"/>
      <w:r/>
      <w:bookmarkEnd w:id="7"/>
      <w:r/>
      <w:r/>
    </w:p>
    <w:sdt>
      <w:sdtPr>
        <w15:appearance w15:val="boundingBox"/>
        <w:id w:val="147474154"/>
        <w:docPartObj>
          <w:docPartGallery w:val="Table of Contents"/>
          <w:docPartUnique w:val="true"/>
        </w:docPartObj>
        <w:rPr>
          <w:rFonts w:hint="eastAsia" w:ascii="宋体" w:hAnsi="宋体" w:eastAsia="宋体" w:cs="宋体"/>
          <w:b/>
          <w:bCs/>
          <w:color w:val="auto"/>
          <w:sz w:val="32"/>
          <w:szCs w:val="32"/>
          <w:highlight w:val="none"/>
        </w:rPr>
      </w:sdtPr>
      <w:sdtContent>
        <w:p>
          <w:pPr>
            <w:jc w:val="center"/>
            <w:spacing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目  录</w:t>
          </w:r>
          <w:r/>
        </w:p>
        <w:p>
          <w:pPr>
            <w:pStyle w:val="966"/>
            <w:jc w:val="center"/>
            <w:spacing w:line="360" w:lineRule="auto"/>
            <w:tabs>
              <w:tab w:val="right" w:pos="9746" w:leader="dot"/>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TOC \o "1-1" \h \u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"_Toc30400" </w:instrText>
          </w:r>
          <w:r>
            <w:rPr>
              <w:rFonts w:hint="eastAsia" w:ascii="宋体" w:hAnsi="宋体" w:eastAsia="宋体" w:cs="宋体"/>
              <w:color w:val="auto"/>
              <w:highlight w:val="none"/>
            </w:rPr>
            <w:fldChar w:fldCharType="separate"/>
          </w:r>
          <w:r>
            <w:rPr>
              <w:rFonts w:hint="eastAsia" w:ascii="宋体" w:hAnsi="宋体" w:eastAsia="宋体" w:cs="宋体"/>
              <w:color w:val="auto"/>
              <w:sz w:val="28"/>
              <w:szCs w:val="28"/>
              <w:highlight w:val="none"/>
            </w:rPr>
            <w:t xml:space="preserve">第一章 竞争性磋商采购公告</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_Toc30400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3</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r/>
        </w:p>
        <w:p>
          <w:pPr>
            <w:pStyle w:val="966"/>
            <w:jc w:val="center"/>
            <w:spacing w:line="360" w:lineRule="auto"/>
            <w:tabs>
              <w:tab w:val="right" w:pos="9746" w:leader="dot"/>
            </w:tabs>
            <w:rPr>
              <w:rFonts w:hint="eastAsia" w:ascii="宋体" w:hAnsi="宋体" w:eastAsia="宋体" w:cs="宋体"/>
              <w:color w:val="auto"/>
              <w:sz w:val="28"/>
              <w:szCs w:val="28"/>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"_Toc23310" </w:instrText>
          </w:r>
          <w:r>
            <w:rPr>
              <w:rFonts w:hint="eastAsia" w:ascii="宋体" w:hAnsi="宋体" w:eastAsia="宋体" w:cs="宋体"/>
              <w:color w:val="auto"/>
              <w:highlight w:val="none"/>
            </w:rPr>
            <w:fldChar w:fldCharType="separate"/>
          </w:r>
          <w:r>
            <w:rPr>
              <w:rFonts w:hint="eastAsia" w:ascii="宋体" w:hAnsi="宋体" w:eastAsia="宋体" w:cs="宋体"/>
              <w:color w:val="auto"/>
              <w:sz w:val="28"/>
              <w:szCs w:val="28"/>
              <w:highlight w:val="none"/>
            </w:rPr>
            <w:t xml:space="preserve">第二章 供应商须知</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_Toc23310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7</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r/>
        </w:p>
        <w:p>
          <w:pPr>
            <w:pStyle w:val="966"/>
            <w:jc w:val="center"/>
            <w:spacing w:line="360" w:lineRule="auto"/>
            <w:tabs>
              <w:tab w:val="right" w:pos="9746" w:leader="dot"/>
            </w:tabs>
            <w:rPr>
              <w:rFonts w:hint="eastAsia" w:ascii="宋体" w:hAnsi="宋体" w:eastAsia="宋体" w:cs="宋体"/>
              <w:color w:val="auto"/>
              <w:sz w:val="28"/>
              <w:szCs w:val="28"/>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"_Toc19303" </w:instrText>
          </w:r>
          <w:r>
            <w:rPr>
              <w:rFonts w:hint="eastAsia" w:ascii="宋体" w:hAnsi="宋体" w:eastAsia="宋体" w:cs="宋体"/>
              <w:color w:val="auto"/>
              <w:highlight w:val="none"/>
            </w:rPr>
            <w:fldChar w:fldCharType="separate"/>
          </w:r>
          <w:r>
            <w:rPr>
              <w:rFonts w:hint="eastAsia" w:ascii="宋体" w:hAnsi="宋体" w:eastAsia="宋体" w:cs="宋体"/>
              <w:color w:val="auto"/>
              <w:sz w:val="28"/>
              <w:szCs w:val="28"/>
              <w:highlight w:val="none"/>
            </w:rPr>
            <w:t xml:space="preserve">第三章 合同文本</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_Toc19303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19</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r/>
        </w:p>
        <w:p>
          <w:pPr>
            <w:pStyle w:val="966"/>
            <w:jc w:val="center"/>
            <w:spacing w:line="360" w:lineRule="auto"/>
            <w:tabs>
              <w:tab w:val="right" w:pos="9746" w:leader="dot"/>
            </w:tabs>
            <w:rPr>
              <w:rFonts w:hint="eastAsia" w:ascii="宋体" w:hAnsi="宋体" w:eastAsia="宋体" w:cs="宋体"/>
              <w:color w:val="auto"/>
              <w:sz w:val="28"/>
              <w:szCs w:val="28"/>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"_Toc24319" </w:instrText>
          </w:r>
          <w:r>
            <w:rPr>
              <w:rFonts w:hint="eastAsia" w:ascii="宋体" w:hAnsi="宋体" w:eastAsia="宋体" w:cs="宋体"/>
              <w:color w:val="auto"/>
              <w:highlight w:val="none"/>
            </w:rPr>
            <w:fldChar w:fldCharType="separate"/>
          </w:r>
          <w:r>
            <w:rPr>
              <w:rFonts w:hint="eastAsia" w:ascii="宋体" w:hAnsi="宋体" w:eastAsia="宋体" w:cs="宋体"/>
              <w:color w:val="auto"/>
              <w:sz w:val="28"/>
              <w:szCs w:val="28"/>
              <w:highlight w:val="none"/>
            </w:rPr>
            <w:t xml:space="preserve">第四章 采购需求</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_Toc24319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25</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r/>
        </w:p>
        <w:p>
          <w:pPr>
            <w:pStyle w:val="966"/>
            <w:jc w:val="center"/>
            <w:spacing w:line="360" w:lineRule="auto"/>
            <w:tabs>
              <w:tab w:val="right" w:pos="9746" w:leader="dot"/>
            </w:tabs>
            <w:rPr>
              <w:rFonts w:hint="eastAsia" w:ascii="宋体" w:hAnsi="宋体" w:eastAsia="宋体" w:cs="宋体"/>
              <w:color w:val="auto"/>
              <w:sz w:val="28"/>
              <w:szCs w:val="28"/>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"_Toc255" </w:instrText>
          </w:r>
          <w:r>
            <w:rPr>
              <w:rFonts w:hint="eastAsia" w:ascii="宋体" w:hAnsi="宋体" w:eastAsia="宋体" w:cs="宋体"/>
              <w:color w:val="auto"/>
              <w:highlight w:val="none"/>
            </w:rPr>
            <w:fldChar w:fldCharType="separate"/>
          </w:r>
          <w:r>
            <w:rPr>
              <w:rFonts w:hint="eastAsia" w:ascii="宋体" w:hAnsi="宋体" w:eastAsia="宋体" w:cs="宋体"/>
              <w:color w:val="auto"/>
              <w:sz w:val="28"/>
              <w:szCs w:val="28"/>
              <w:highlight w:val="none"/>
            </w:rPr>
            <w:t xml:space="preserve">第五章 评审方法和评审标准</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_Toc255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3</w:t>
          </w:r>
          <w:r>
            <w:rPr>
              <w:rFonts w:hint="eastAsia" w:ascii="宋体" w:hAnsi="宋体" w:cs="宋体"/>
              <w:color w:val="auto"/>
              <w:sz w:val="28"/>
              <w:szCs w:val="28"/>
              <w:highlight w:val="none"/>
              <w:lang w:val="en-US" w:eastAsia="zh-CN"/>
            </w:rPr>
            <w:t xml:space="preserve">1</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r/>
        </w:p>
        <w:p>
          <w:pPr>
            <w:pStyle w:val="966"/>
            <w:jc w:val="center"/>
            <w:spacing w:line="360" w:lineRule="auto"/>
            <w:tabs>
              <w:tab w:val="right" w:pos="9746" w:leader="dot"/>
            </w:tabs>
            <w:rPr>
              <w:rFonts w:hint="eastAsia" w:ascii="宋体" w:hAnsi="宋体" w:eastAsia="宋体" w:cs="宋体"/>
              <w:color w:val="auto"/>
              <w:sz w:val="28"/>
              <w:szCs w:val="28"/>
              <w:highlight w:val="none"/>
              <w:lang w:val="en-US" w:eastAsia="zh-CN"/>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"_Toc9369" </w:instrText>
          </w:r>
          <w:r>
            <w:rPr>
              <w:rFonts w:hint="eastAsia" w:ascii="宋体" w:hAnsi="宋体" w:eastAsia="宋体" w:cs="宋体"/>
              <w:color w:val="auto"/>
              <w:highlight w:val="none"/>
            </w:rPr>
            <w:fldChar w:fldCharType="separate"/>
          </w:r>
          <w:r>
            <w:rPr>
              <w:rFonts w:hint="eastAsia" w:ascii="宋体" w:hAnsi="宋体" w:eastAsia="宋体" w:cs="宋体"/>
              <w:color w:val="auto"/>
              <w:sz w:val="28"/>
              <w:szCs w:val="28"/>
              <w:highlight w:val="none"/>
            </w:rPr>
            <w:t xml:space="preserve">第六章 响应文件格式</w:t>
          </w:r>
          <w:r>
            <w:rPr>
              <w:rFonts w:hint="eastAsia" w:ascii="宋体" w:hAnsi="宋体" w:eastAsia="宋体" w:cs="宋体"/>
              <w:color w:val="auto"/>
              <w:sz w:val="28"/>
              <w:szCs w:val="28"/>
              <w:highlight w:val="none"/>
            </w:rPr>
            <w:tab/>
          </w:r>
          <w:r>
            <w:rPr>
              <w:rFonts w:hint="eastAsia" w:ascii="宋体" w:hAnsi="宋体" w:cs="宋体"/>
              <w:color w:val="auto"/>
              <w:sz w:val="28"/>
              <w:szCs w:val="28"/>
              <w:highlight w:val="none"/>
              <w:lang w:val="en-US" w:eastAsia="zh-CN"/>
            </w:rPr>
            <w:t xml:space="preserve">3</w:t>
          </w:r>
          <w:r>
            <w:rPr>
              <w:rFonts w:hint="eastAsia" w:ascii="宋体" w:hAnsi="宋体" w:eastAsia="宋体" w:cs="宋体"/>
              <w:color w:val="auto"/>
              <w:sz w:val="28"/>
              <w:szCs w:val="28"/>
              <w:highlight w:val="none"/>
            </w:rPr>
            <w:fldChar w:fldCharType="end"/>
          </w:r>
          <w:r>
            <w:rPr>
              <w:rFonts w:hint="eastAsia" w:ascii="宋体" w:hAnsi="宋体" w:cs="宋体"/>
              <w:color w:val="auto"/>
              <w:sz w:val="28"/>
              <w:szCs w:val="28"/>
              <w:highlight w:val="none"/>
              <w:lang w:val="en-US" w:eastAsia="zh-CN"/>
            </w:rPr>
            <w:t xml:space="preserve">6</w:t>
          </w:r>
          <w:r/>
        </w:p>
        <w:p>
          <w:pPr>
            <w:jc w:val="center"/>
            <w:spacing w:line="360" w:lineRule="auto"/>
            <w:rPr>
              <w:rFonts w:hint="eastAsia" w:ascii="宋体" w:hAnsi="宋体" w:eastAsia="宋体" w:cs="宋体"/>
              <w:color w:val="auto"/>
              <w:sz w:val="44"/>
              <w:szCs w:val="44"/>
              <w:highlight w:val="none"/>
            </w:rPr>
          </w:pPr>
          <w:r>
            <w:rPr>
              <w:rFonts w:hint="eastAsia" w:ascii="宋体" w:hAnsi="宋体" w:eastAsia="宋体" w:cs="宋体"/>
              <w:color w:val="auto"/>
              <w:sz w:val="28"/>
              <w:szCs w:val="28"/>
              <w:highlight w:val="none"/>
            </w:rPr>
            <w:fldChar w:fldCharType="end"/>
          </w:r>
          <w:r/>
        </w:p>
      </w:sdtContent>
    </w:sdt>
    <w:p>
      <w:pPr>
        <w:pStyle w:val="716"/>
        <w:ind w:left="1470" w:right="1470"/>
        <w:rPr>
          <w:rFonts w:hint="eastAsia" w:ascii="宋体" w:hAnsi="宋体" w:eastAsia="宋体" w:cs="宋体"/>
          <w:color w:val="auto"/>
          <w:szCs w:val="44"/>
          <w:highlight w:val="none"/>
        </w:rPr>
      </w:pPr>
      <w:r>
        <w:rPr>
          <w:rFonts w:hint="eastAsia" w:ascii="宋体" w:hAnsi="宋体" w:eastAsia="宋体" w:cs="宋体"/>
          <w:color w:val="auto"/>
          <w:szCs w:val="44"/>
          <w:highlight w:val="none"/>
        </w:rPr>
      </w:r>
      <w:r/>
    </w:p>
    <w:p>
      <w:pPr>
        <w:pStyle w:val="716"/>
        <w:ind w:left="1470" w:right="1470"/>
        <w:rPr>
          <w:rFonts w:hint="eastAsia" w:ascii="宋体" w:hAnsi="宋体" w:eastAsia="宋体" w:cs="宋体"/>
          <w:color w:val="auto"/>
          <w:szCs w:val="44"/>
          <w:highlight w:val="none"/>
        </w:rPr>
      </w:pPr>
      <w:r>
        <w:rPr>
          <w:rFonts w:hint="eastAsia" w:ascii="宋体" w:hAnsi="宋体" w:eastAsia="宋体" w:cs="宋体"/>
          <w:color w:val="auto"/>
          <w:szCs w:val="44"/>
          <w:highlight w:val="none"/>
        </w:rPr>
      </w:r>
      <w:r/>
    </w:p>
    <w:p>
      <w:pPr>
        <w:pStyle w:val="716"/>
        <w:ind w:left="1470" w:right="1470"/>
        <w:rPr>
          <w:rFonts w:hint="eastAsia" w:ascii="宋体" w:hAnsi="宋体" w:eastAsia="宋体" w:cs="宋体"/>
          <w:color w:val="auto"/>
          <w:szCs w:val="44"/>
          <w:highlight w:val="none"/>
        </w:rPr>
      </w:pPr>
      <w:r>
        <w:rPr>
          <w:rFonts w:hint="eastAsia" w:ascii="宋体" w:hAnsi="宋体" w:eastAsia="宋体" w:cs="宋体"/>
          <w:color w:val="auto"/>
          <w:szCs w:val="44"/>
          <w:highlight w:val="none"/>
        </w:rPr>
      </w:r>
      <w:r/>
    </w:p>
    <w:p>
      <w:pPr>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r>
      <w:r/>
    </w:p>
    <w:p>
      <w:pPr>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r>
      <w:r/>
    </w:p>
    <w:p>
      <w:pPr>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r>
      <w:r/>
    </w:p>
    <w:p>
      <w:pPr>
        <w:pStyle w:val="716"/>
        <w:jc w:val="left"/>
        <w:keepNext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716"/>
        <w:jc w:val="left"/>
        <w:keepNext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716"/>
        <w:jc w:val="left"/>
        <w:keepNext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716"/>
        <w:jc w:val="left"/>
        <w:keepNext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716"/>
        <w:jc w:val="left"/>
        <w:keepNext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716"/>
        <w:jc w:val="left"/>
        <w:keepNext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716"/>
        <w:keepNext w:val="0"/>
        <w:spacing w:line="360" w:lineRule="auto"/>
        <w:rPr>
          <w:rFonts w:hint="eastAsia" w:ascii="宋体" w:hAnsi="宋体" w:eastAsia="宋体" w:cs="宋体"/>
          <w:color w:val="auto"/>
          <w:highlight w:val="none"/>
        </w:rPr>
      </w:pPr>
      <w:r/>
      <w:bookmarkStart w:id="8" w:name="_Toc12508"/>
      <w:r/>
      <w:bookmarkStart w:id="9" w:name="_Toc30400"/>
      <w:r/>
      <w:bookmarkStart w:id="10" w:name="_Toc18255"/>
      <w:r>
        <w:rPr>
          <w:rFonts w:hint="eastAsia" w:ascii="宋体" w:hAnsi="宋体" w:eastAsia="宋体" w:cs="宋体"/>
          <w:color w:val="auto"/>
          <w:highlight w:val="none"/>
        </w:rPr>
        <w:t xml:space="preserve">第一章 竞争性磋商采购公告</w:t>
      </w:r>
      <w:bookmarkEnd w:id="8"/>
      <w:r/>
      <w:bookmarkEnd w:id="9"/>
      <w:r/>
      <w:bookmarkEnd w:id="10"/>
      <w:r/>
      <w:r/>
    </w:p>
    <w:p>
      <w:pPr>
        <w:ind w:firstLine="480"/>
        <w:spacing w:line="360" w:lineRule="auto"/>
        <w:rPr>
          <w:rFonts w:hint="eastAsia" w:ascii="宋体" w:hAnsi="宋体" w:eastAsia="宋体" w:cs="宋体"/>
          <w:color w:val="auto"/>
          <w:sz w:val="24"/>
          <w:szCs w:val="28"/>
          <w:highlight w:val="none"/>
          <w:u w:val="single"/>
        </w:rPr>
        <w:pBdr>
          <w:top w:val="single" w:color="auto" w:sz="4" w:space="1"/>
          <w:left w:val="single" w:color="auto" w:sz="4" w:space="4"/>
          <w:bottom w:val="single" w:color="auto" w:sz="4" w:space="1"/>
          <w:right w:val="single" w:color="auto" w:sz="4" w:space="4"/>
        </w:pBdr>
      </w:pPr>
      <w:r>
        <w:rPr>
          <w:rFonts w:hint="eastAsia" w:ascii="宋体" w:hAnsi="宋体" w:eastAsia="宋体" w:cs="宋体"/>
          <w:color w:val="auto"/>
          <w:sz w:val="24"/>
          <w:szCs w:val="28"/>
          <w:highlight w:val="none"/>
        </w:rPr>
        <w:t xml:space="preserve">项目概况：</w:t>
      </w:r>
      <w:r>
        <w:rPr>
          <w:rFonts w:hint="eastAsia" w:ascii="宋体" w:hAnsi="宋体" w:cs="宋体"/>
          <w:color w:val="auto"/>
          <w:sz w:val="24"/>
          <w:szCs w:val="28"/>
          <w:highlight w:val="none"/>
          <w:u w:val="single"/>
          <w:lang w:eastAsia="zh-CN"/>
        </w:rPr>
        <w:t xml:space="preserve">2023年地膜科学使用回收试点项目</w:t>
      </w:r>
      <w:r>
        <w:rPr>
          <w:rFonts w:hint="eastAsia" w:ascii="宋体" w:hAnsi="宋体" w:eastAsia="宋体" w:cs="宋体"/>
          <w:color w:val="auto"/>
          <w:sz w:val="24"/>
          <w:szCs w:val="28"/>
          <w:highlight w:val="none"/>
        </w:rPr>
        <w:t xml:space="preserve">竞争性磋商项目的潜在供应商可在</w:t>
      </w:r>
      <w:r>
        <w:rPr>
          <w:rFonts w:hint="eastAsia" w:ascii="宋体" w:hAnsi="宋体" w:eastAsia="宋体" w:cs="宋体"/>
          <w:color w:val="auto"/>
          <w:sz w:val="24"/>
          <w:highlight w:val="none"/>
          <w:u w:val="single"/>
        </w:rPr>
        <w:t xml:space="preserve">“江苏政府采购网”自行免费</w:t>
      </w:r>
      <w:bookmarkStart w:id="256" w:name="_GoBack"/>
      <w:r/>
      <w:bookmarkEnd w:id="256"/>
      <w:r>
        <w:rPr>
          <w:rFonts w:hint="eastAsia" w:ascii="宋体" w:hAnsi="宋体" w:eastAsia="宋体" w:cs="宋体"/>
          <w:color w:val="auto"/>
          <w:sz w:val="24"/>
          <w:highlight w:val="none"/>
          <w:u w:val="single"/>
        </w:rPr>
        <w:t xml:space="preserve">下载</w:t>
      </w:r>
      <w:r>
        <w:rPr>
          <w:rFonts w:hint="eastAsia" w:ascii="宋体" w:hAnsi="宋体" w:eastAsia="宋体" w:cs="宋体"/>
          <w:color w:val="auto"/>
          <w:sz w:val="24"/>
          <w:highlight w:val="none"/>
        </w:rPr>
        <w:t xml:space="preserve">磋商文件</w:t>
      </w:r>
      <w:r>
        <w:rPr>
          <w:rFonts w:hint="eastAsia" w:ascii="宋体" w:hAnsi="宋体" w:eastAsia="宋体" w:cs="宋体"/>
          <w:color w:val="auto"/>
          <w:sz w:val="24"/>
          <w:szCs w:val="28"/>
          <w:highlight w:val="none"/>
        </w:rPr>
        <w:t xml:space="preserve">，并于</w:t>
      </w:r>
      <w:r>
        <w:rPr>
          <w:rFonts w:hint="eastAsia" w:ascii="宋体" w:hAnsi="宋体" w:eastAsia="宋体" w:cs="宋体"/>
          <w:b/>
          <w:bCs/>
          <w:color w:val="auto"/>
          <w:sz w:val="24"/>
          <w:szCs w:val="28"/>
          <w:highlight w:val="white"/>
          <w:u w:val="single"/>
        </w:rPr>
        <w:t xml:space="preserve">202</w:t>
      </w:r>
      <w:r>
        <w:rPr>
          <w:rFonts w:hint="eastAsia" w:ascii="宋体" w:hAnsi="宋体" w:eastAsia="宋体" w:cs="宋体"/>
          <w:b/>
          <w:bCs/>
          <w:color w:val="auto"/>
          <w:sz w:val="24"/>
          <w:szCs w:val="28"/>
          <w:highlight w:val="white"/>
          <w:u w:val="single"/>
          <w:lang w:val="en-US" w:eastAsia="zh-CN"/>
        </w:rPr>
        <w:t xml:space="preserve">5</w:t>
      </w:r>
      <w:r>
        <w:rPr>
          <w:rFonts w:hint="eastAsia" w:ascii="宋体" w:hAnsi="宋体" w:eastAsia="宋体" w:cs="宋体"/>
          <w:b/>
          <w:bCs/>
          <w:color w:val="auto"/>
          <w:sz w:val="24"/>
          <w:szCs w:val="28"/>
          <w:highlight w:val="white"/>
          <w:u w:val="single"/>
        </w:rPr>
        <w:t xml:space="preserve">年</w:t>
      </w:r>
      <w:r>
        <w:rPr>
          <w:rFonts w:hint="eastAsia" w:ascii="宋体" w:hAnsi="宋体" w:cs="宋体"/>
          <w:b/>
          <w:bCs/>
          <w:color w:val="auto"/>
          <w:sz w:val="24"/>
          <w:szCs w:val="28"/>
          <w:highlight w:val="white"/>
          <w:u w:val="single"/>
          <w:lang w:val="en-US" w:eastAsia="zh-CN"/>
        </w:rPr>
        <w:t xml:space="preserve">12月26</w:t>
      </w:r>
      <w:r>
        <w:rPr>
          <w:rFonts w:hint="eastAsia" w:ascii="宋体" w:hAnsi="宋体" w:eastAsia="宋体" w:cs="宋体"/>
          <w:b/>
          <w:bCs/>
          <w:color w:val="auto"/>
          <w:sz w:val="24"/>
          <w:szCs w:val="28"/>
          <w:highlight w:val="white"/>
          <w:u w:val="single"/>
        </w:rPr>
        <w:t xml:space="preserve">日09时00分00秒</w:t>
      </w:r>
      <w:r>
        <w:rPr>
          <w:rFonts w:hint="eastAsia" w:ascii="宋体" w:hAnsi="宋体" w:eastAsia="宋体" w:cs="宋体"/>
          <w:color w:val="auto"/>
          <w:sz w:val="24"/>
          <w:szCs w:val="28"/>
          <w:highlight w:val="none"/>
        </w:rPr>
        <w:t xml:space="preserve">（北京时间）前递交响应文件。 </w:t>
      </w:r>
      <w:r/>
    </w:p>
    <w:p>
      <w:pPr>
        <w:spacing w:line="360" w:lineRule="auto"/>
        <w:rPr>
          <w:rFonts w:hint="eastAsia" w:ascii="宋体" w:hAnsi="宋体" w:eastAsia="宋体" w:cs="宋体"/>
          <w:b/>
          <w:color w:val="auto"/>
          <w:sz w:val="24"/>
          <w:highlight w:val="none"/>
        </w:rPr>
      </w:pPr>
      <w:r/>
      <w:bookmarkStart w:id="11" w:name="_Toc28359012"/>
      <w:r/>
      <w:bookmarkStart w:id="12" w:name="_Toc28359089"/>
      <w:r/>
      <w:bookmarkStart w:id="13" w:name="_Toc35393629"/>
      <w:r/>
      <w:bookmarkStart w:id="14" w:name="_Toc35393798"/>
      <w:r>
        <w:rPr>
          <w:rFonts w:hint="eastAsia" w:ascii="宋体" w:hAnsi="宋体" w:eastAsia="宋体" w:cs="宋体"/>
          <w:b/>
          <w:color w:val="auto"/>
          <w:sz w:val="24"/>
          <w:highlight w:val="none"/>
        </w:rPr>
        <w:t xml:space="preserve">一、项目基本情况</w:t>
      </w:r>
      <w:bookmarkEnd w:id="11"/>
      <w:r/>
      <w:bookmarkEnd w:id="12"/>
      <w:r/>
      <w:bookmarkEnd w:id="13"/>
      <w:r/>
      <w:bookmarkEnd w:id="14"/>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1、项目编号：JSZC-320707-YGHZ-C2025-0004</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2、项目名称：</w:t>
      </w:r>
      <w:r>
        <w:rPr>
          <w:rFonts w:hint="eastAsia" w:ascii="宋体" w:hAnsi="宋体" w:cs="宋体"/>
          <w:color w:val="auto"/>
          <w:sz w:val="24"/>
          <w:szCs w:val="28"/>
          <w:highlight w:val="none"/>
          <w:lang w:eastAsia="zh-CN"/>
        </w:rPr>
        <w:t xml:space="preserve">2023年地膜科学使用回收试点项目</w:t>
      </w:r>
      <w:r/>
    </w:p>
    <w:p>
      <w:pPr>
        <w:ind w:firstLine="480"/>
        <w:spacing w:line="360" w:lineRule="auto"/>
        <w:rPr>
          <w:rFonts w:hint="eastAsia" w:ascii="宋体" w:hAnsi="宋体" w:cs="宋体"/>
          <w:color w:val="auto"/>
          <w:sz w:val="24"/>
          <w:szCs w:val="28"/>
          <w:highlight w:val="none"/>
          <w:lang w:eastAsia="zh-CN"/>
        </w:rPr>
      </w:pPr>
      <w:r>
        <w:rPr>
          <w:rFonts w:hint="eastAsia" w:ascii="宋体" w:hAnsi="宋体" w:eastAsia="宋体" w:cs="宋体"/>
          <w:color w:val="auto"/>
          <w:sz w:val="24"/>
          <w:highlight w:val="none"/>
        </w:rPr>
        <w:t xml:space="preserve">分包一：</w:t>
      </w:r>
      <w:r>
        <w:rPr>
          <w:rFonts w:hint="eastAsia" w:ascii="宋体" w:hAnsi="宋体" w:cs="宋体"/>
          <w:color w:val="auto"/>
          <w:sz w:val="24"/>
          <w:szCs w:val="28"/>
          <w:highlight w:val="none"/>
          <w:lang w:eastAsia="zh-CN"/>
        </w:rPr>
        <w:t xml:space="preserve">2023年地膜科学使用回收试点项目全生物降解地膜（标段编号：-1）</w:t>
      </w:r>
      <w:r/>
    </w:p>
    <w:p>
      <w:pPr>
        <w:ind w:firstLine="480"/>
        <w:spacing w:line="360" w:lineRule="auto"/>
        <w:rPr>
          <w:rFonts w:hint="eastAsia" w:ascii="宋体" w:hAnsi="宋体" w:eastAsia="宋体" w:cs="宋体"/>
          <w:color w:val="auto"/>
          <w:sz w:val="24"/>
          <w:szCs w:val="28"/>
          <w:highlight w:val="none"/>
        </w:rPr>
      </w:pPr>
      <w:r>
        <w:rPr>
          <w:rFonts w:hint="eastAsia" w:ascii="宋体" w:hAnsi="宋体" w:cs="宋体"/>
          <w:color w:val="auto"/>
          <w:sz w:val="24"/>
          <w:szCs w:val="28"/>
          <w:highlight w:val="none"/>
          <w:lang w:eastAsia="zh-CN"/>
        </w:rPr>
        <w:t xml:space="preserve">分包二：2023年地膜科学使用回收试点项目加厚高强度地膜（标</w:t>
      </w:r>
      <w:r>
        <w:rPr>
          <w:rFonts w:hint="eastAsia" w:ascii="宋体" w:hAnsi="宋体" w:eastAsia="宋体" w:cs="宋体"/>
          <w:color w:val="auto"/>
          <w:sz w:val="24"/>
          <w:highlight w:val="none"/>
        </w:rPr>
        <w:t xml:space="preserve">段编号：-</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color w:val="auto"/>
          <w:sz w:val="24"/>
          <w:highlight w:val="none"/>
        </w:rPr>
        <w:t xml:space="preserve">3、预算金额（最高限价）：总预算</w:t>
      </w:r>
      <w:r>
        <w:rPr>
          <w:rFonts w:hint="eastAsia" w:ascii="宋体" w:hAnsi="宋体" w:cs="宋体"/>
          <w:color w:val="auto"/>
          <w:sz w:val="24"/>
          <w:highlight w:val="none"/>
          <w:lang w:val="en-US" w:eastAsia="zh-CN"/>
        </w:rPr>
        <w:t xml:space="preserve">57.75</w:t>
      </w:r>
      <w:r>
        <w:rPr>
          <w:rFonts w:hint="eastAsia" w:ascii="宋体" w:hAnsi="宋体" w:eastAsia="宋体" w:cs="宋体"/>
          <w:bCs/>
          <w:color w:val="auto"/>
          <w:sz w:val="24"/>
          <w:highlight w:val="none"/>
        </w:rPr>
        <w:t xml:space="preserve">万元，</w:t>
      </w:r>
      <w:r>
        <w:rPr>
          <w:rFonts w:hint="eastAsia" w:ascii="宋体" w:hAnsi="宋体" w:eastAsia="宋体" w:cs="宋体"/>
          <w:color w:val="auto"/>
          <w:sz w:val="24"/>
          <w:highlight w:val="none"/>
        </w:rPr>
        <w:t xml:space="preserve">分包一预算为</w:t>
      </w:r>
      <w:r>
        <w:rPr>
          <w:rFonts w:hint="eastAsia" w:ascii="宋体" w:hAnsi="宋体" w:cs="宋体"/>
          <w:color w:val="auto"/>
          <w:sz w:val="24"/>
          <w:highlight w:val="none"/>
          <w:lang w:val="en-US" w:eastAsia="zh-CN"/>
        </w:rPr>
        <w:t xml:space="preserve">44.55</w:t>
      </w:r>
      <w:r>
        <w:rPr>
          <w:rFonts w:hint="eastAsia" w:ascii="宋体" w:hAnsi="宋体" w:eastAsia="宋体" w:cs="宋体"/>
          <w:color w:val="auto"/>
          <w:sz w:val="24"/>
          <w:highlight w:val="none"/>
        </w:rPr>
        <w:t xml:space="preserve">万元，以单价报价（</w:t>
      </w:r>
      <w:r>
        <w:rPr>
          <w:rFonts w:hint="eastAsia" w:ascii="宋体" w:hAnsi="宋体" w:eastAsia="宋体" w:cs="宋体"/>
          <w:color w:val="auto"/>
          <w:sz w:val="24"/>
          <w:highlight w:val="none"/>
          <w:lang w:val="en-US" w:eastAsia="zh-CN"/>
        </w:rPr>
        <w:t xml:space="preserve">高强度加厚地膜）</w:t>
      </w:r>
      <w:r>
        <w:rPr>
          <w:rFonts w:hint="eastAsia" w:ascii="宋体" w:hAnsi="宋体" w:eastAsia="宋体" w:cs="宋体"/>
          <w:color w:val="auto"/>
          <w:sz w:val="24"/>
          <w:highlight w:val="none"/>
        </w:rPr>
        <w:t xml:space="preserve">最高单价限价：1</w:t>
      </w:r>
      <w:r>
        <w:rPr>
          <w:rFonts w:hint="eastAsia" w:ascii="宋体" w:hAnsi="宋体" w:cs="宋体"/>
          <w:color w:val="auto"/>
          <w:sz w:val="24"/>
          <w:highlight w:val="none"/>
          <w:lang w:val="en-US" w:eastAsia="zh-CN"/>
        </w:rPr>
        <w:t xml:space="preserve">3</w:t>
      </w:r>
      <w:r>
        <w:rPr>
          <w:rFonts w:hint="eastAsia" w:ascii="宋体" w:hAnsi="宋体" w:eastAsia="宋体" w:cs="宋体"/>
          <w:color w:val="auto"/>
          <w:sz w:val="24"/>
          <w:highlight w:val="none"/>
        </w:rPr>
        <w:t xml:space="preserve">000元/吨，</w:t>
      </w:r>
      <w:r>
        <w:rPr>
          <w:rFonts w:hint="eastAsia" w:ascii="宋体" w:hAnsi="宋体" w:eastAsia="宋体" w:cs="宋体"/>
          <w:bCs/>
          <w:color w:val="auto"/>
          <w:sz w:val="24"/>
          <w:highlight w:val="none"/>
        </w:rPr>
        <w:t xml:space="preserve">报价超过预算金额及最高单价限价的按无效响应处理；</w:t>
      </w:r>
      <w:r>
        <w:rPr>
          <w:rFonts w:hint="eastAsia" w:ascii="宋体" w:hAnsi="宋体" w:eastAsia="宋体" w:cs="宋体"/>
          <w:color w:val="auto"/>
          <w:sz w:val="24"/>
          <w:highlight w:val="none"/>
        </w:rPr>
        <w:t xml:space="preserve">分包二预算为</w:t>
      </w:r>
      <w:r>
        <w:rPr>
          <w:rFonts w:hint="eastAsia" w:ascii="宋体" w:hAnsi="宋体" w:cs="宋体"/>
          <w:color w:val="auto"/>
          <w:sz w:val="24"/>
          <w:highlight w:val="none"/>
          <w:lang w:val="en-US" w:eastAsia="zh-CN"/>
        </w:rPr>
        <w:t xml:space="preserve">13.2</w:t>
      </w:r>
      <w:r>
        <w:rPr>
          <w:rFonts w:hint="eastAsia" w:ascii="宋体" w:hAnsi="宋体" w:eastAsia="宋体" w:cs="宋体"/>
          <w:color w:val="auto"/>
          <w:sz w:val="24"/>
          <w:highlight w:val="none"/>
        </w:rPr>
        <w:t xml:space="preserve">万元，</w:t>
      </w:r>
      <w:r>
        <w:rPr>
          <w:rFonts w:hint="eastAsia" w:ascii="宋体" w:hAnsi="宋体" w:eastAsia="宋体" w:cs="宋体"/>
          <w:bCs/>
          <w:color w:val="auto"/>
          <w:sz w:val="24"/>
          <w:highlight w:val="none"/>
        </w:rPr>
        <w:t xml:space="preserve">以单价报价（</w:t>
      </w:r>
      <w:r>
        <w:rPr>
          <w:rFonts w:hint="eastAsia" w:ascii="宋体" w:hAnsi="宋体" w:eastAsia="宋体" w:cs="宋体"/>
          <w:bCs/>
          <w:color w:val="auto"/>
          <w:sz w:val="24"/>
          <w:highlight w:val="none"/>
          <w:lang w:val="en-US" w:eastAsia="zh-CN"/>
        </w:rPr>
        <w:t xml:space="preserve">全生物降解地膜）</w:t>
      </w:r>
      <w:r>
        <w:rPr>
          <w:rFonts w:hint="eastAsia" w:ascii="宋体" w:hAnsi="宋体" w:eastAsia="宋体" w:cs="宋体"/>
          <w:bCs/>
          <w:color w:val="auto"/>
          <w:sz w:val="24"/>
          <w:highlight w:val="none"/>
        </w:rPr>
        <w:t xml:space="preserve">最高单价限价：</w:t>
      </w: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lang w:val="en-US" w:eastAsia="zh-CN"/>
        </w:rPr>
        <w:t xml:space="preserve">2</w:t>
      </w:r>
      <w:r>
        <w:rPr>
          <w:rFonts w:hint="eastAsia" w:ascii="宋体" w:hAnsi="宋体" w:cs="宋体"/>
          <w:color w:val="auto"/>
          <w:sz w:val="24"/>
          <w:highlight w:val="none"/>
          <w:lang w:val="en-US" w:eastAsia="zh-CN"/>
        </w:rPr>
        <w:t xml:space="preserve">5</w:t>
      </w:r>
      <w:r>
        <w:rPr>
          <w:rFonts w:hint="eastAsia" w:ascii="宋体" w:hAnsi="宋体" w:eastAsia="宋体" w:cs="宋体"/>
          <w:color w:val="auto"/>
          <w:sz w:val="24"/>
          <w:highlight w:val="none"/>
          <w:lang w:val="en-US" w:eastAsia="zh-CN"/>
        </w:rPr>
        <w:t xml:space="preserve">000</w:t>
      </w:r>
      <w:r>
        <w:rPr>
          <w:rFonts w:hint="eastAsia" w:ascii="宋体" w:hAnsi="宋体" w:eastAsia="宋体" w:cs="宋体"/>
          <w:color w:val="auto"/>
          <w:sz w:val="24"/>
          <w:highlight w:val="none"/>
        </w:rPr>
        <w:t xml:space="preserve">元/吨</w:t>
      </w:r>
      <w:r>
        <w:rPr>
          <w:rFonts w:hint="eastAsia" w:ascii="宋体" w:hAnsi="宋体" w:eastAsia="宋体" w:cs="宋体"/>
          <w:bCs/>
          <w:color w:val="auto"/>
          <w:sz w:val="24"/>
          <w:highlight w:val="none"/>
        </w:rPr>
        <w:t xml:space="preserve">，报价超过预算金额及最高单价限价的按无效响应处理；</w:t>
      </w:r>
      <w:r>
        <w:rPr>
          <w:rFonts w:hint="eastAsia" w:ascii="宋体" w:hAnsi="宋体" w:eastAsia="宋体" w:cs="宋体"/>
          <w:b/>
          <w:bCs/>
          <w:color w:val="auto"/>
          <w:sz w:val="24"/>
          <w:highlight w:val="none"/>
        </w:rPr>
        <w:t xml:space="preserve">投标报价超过预算金额的投标无效</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szCs w:val="28"/>
          <w:highlight w:val="none"/>
          <w:lang w:eastAsia="zh-CN"/>
        </w:rPr>
      </w:pPr>
      <w:r>
        <w:rPr>
          <w:rFonts w:hint="eastAsia" w:ascii="宋体" w:hAnsi="宋体" w:eastAsia="宋体" w:cs="宋体"/>
          <w:color w:val="auto"/>
          <w:sz w:val="24"/>
          <w:szCs w:val="28"/>
          <w:highlight w:val="none"/>
        </w:rPr>
        <w:t xml:space="preserve">4、采购需求：</w:t>
      </w:r>
      <w:r>
        <w:rPr>
          <w:rFonts w:hint="eastAsia" w:ascii="宋体" w:hAnsi="宋体" w:cs="宋体"/>
          <w:color w:val="auto"/>
          <w:sz w:val="24"/>
          <w:szCs w:val="28"/>
          <w:highlight w:val="none"/>
          <w:lang w:eastAsia="zh-CN"/>
        </w:rPr>
        <w:t xml:space="preserve">2023年地膜科学使用回收试点项目</w:t>
      </w:r>
      <w:r>
        <w:rPr>
          <w:rFonts w:hint="eastAsia" w:ascii="宋体" w:hAnsi="宋体" w:eastAsia="宋体" w:cs="宋体"/>
          <w:color w:val="auto"/>
          <w:sz w:val="24"/>
          <w:szCs w:val="28"/>
          <w:highlight w:val="none"/>
        </w:rPr>
        <w:t xml:space="preserve">采购分包</w:t>
      </w:r>
      <w:r>
        <w:rPr>
          <w:rFonts w:hint="eastAsia" w:ascii="宋体" w:hAnsi="宋体" w:eastAsia="宋体" w:cs="宋体"/>
          <w:color w:val="auto"/>
          <w:sz w:val="24"/>
          <w:szCs w:val="28"/>
          <w:highlight w:val="none"/>
          <w:lang w:eastAsia="zh-CN"/>
        </w:rPr>
        <w:t xml:space="preserve">一：</w:t>
      </w:r>
      <w:r>
        <w:rPr>
          <w:rFonts w:hint="eastAsia" w:ascii="宋体" w:hAnsi="宋体" w:eastAsia="宋体" w:cs="宋体"/>
          <w:color w:val="auto"/>
          <w:sz w:val="24"/>
          <w:szCs w:val="28"/>
          <w:highlight w:val="none"/>
          <w:lang w:val="en-US" w:eastAsia="zh-CN"/>
        </w:rPr>
        <w:t xml:space="preserve">采购高强度加厚地膜</w:t>
      </w:r>
      <w:r>
        <w:rPr>
          <w:rFonts w:hint="eastAsia" w:ascii="宋体" w:hAnsi="宋体" w:cs="宋体"/>
          <w:color w:val="auto"/>
          <w:sz w:val="24"/>
          <w:szCs w:val="28"/>
          <w:highlight w:val="none"/>
          <w:lang w:val="en-US" w:eastAsia="zh-CN"/>
        </w:rPr>
        <w:t xml:space="preserve">44.55</w:t>
      </w:r>
      <w:r>
        <w:rPr>
          <w:rFonts w:hint="eastAsia" w:ascii="宋体" w:hAnsi="宋体" w:eastAsia="宋体" w:cs="宋体"/>
          <w:color w:val="auto"/>
          <w:sz w:val="24"/>
          <w:szCs w:val="28"/>
          <w:highlight w:val="none"/>
          <w:lang w:val="en-US" w:eastAsia="zh-CN"/>
        </w:rPr>
        <w:t xml:space="preserve">万元，主要应用于花生、马铃薯和蔬菜、甘薯、山芋等作物</w:t>
      </w:r>
      <w:r>
        <w:rPr>
          <w:rFonts w:hint="eastAsia" w:ascii="宋体" w:hAnsi="宋体" w:eastAsia="宋体" w:cs="宋体"/>
          <w:color w:val="auto"/>
          <w:sz w:val="24"/>
          <w:szCs w:val="28"/>
          <w:highlight w:val="none"/>
          <w:lang w:eastAsia="zh-CN"/>
        </w:rPr>
        <w:t xml:space="preserve">；分包二：</w:t>
      </w:r>
      <w:r>
        <w:rPr>
          <w:rFonts w:hint="eastAsia" w:ascii="宋体" w:hAnsi="宋体" w:eastAsia="宋体" w:cs="宋体"/>
          <w:color w:val="auto"/>
          <w:sz w:val="24"/>
          <w:szCs w:val="28"/>
          <w:highlight w:val="none"/>
          <w:lang w:val="en-US" w:eastAsia="zh-CN"/>
        </w:rPr>
        <w:t xml:space="preserve">采购全生物降解地膜</w:t>
      </w:r>
      <w:r>
        <w:rPr>
          <w:rFonts w:hint="eastAsia" w:ascii="宋体" w:hAnsi="宋体" w:cs="宋体"/>
          <w:color w:val="auto"/>
          <w:sz w:val="24"/>
          <w:szCs w:val="28"/>
          <w:highlight w:val="none"/>
          <w:lang w:val="en-US" w:eastAsia="zh-CN"/>
        </w:rPr>
        <w:t xml:space="preserve">13.2</w:t>
      </w:r>
      <w:r>
        <w:rPr>
          <w:rFonts w:hint="eastAsia" w:ascii="宋体" w:hAnsi="宋体" w:eastAsia="宋体" w:cs="宋体"/>
          <w:color w:val="auto"/>
          <w:sz w:val="24"/>
          <w:szCs w:val="28"/>
          <w:highlight w:val="none"/>
          <w:lang w:val="en-US" w:eastAsia="zh-CN"/>
        </w:rPr>
        <w:t xml:space="preserve">万元，主要应用于花生、马铃薯和蔬菜、甘薯、山芋等作物</w:t>
      </w:r>
      <w:r>
        <w:rPr>
          <w:rFonts w:hint="eastAsia" w:ascii="宋体" w:hAnsi="宋体" w:eastAsia="宋体" w:cs="宋体"/>
          <w:color w:val="auto"/>
          <w:sz w:val="24"/>
          <w:szCs w:val="28"/>
          <w:highlight w:val="none"/>
          <w:lang w:eastAsia="zh-CN"/>
        </w:rPr>
        <w:t xml:space="preserve">。</w:t>
      </w:r>
      <w:r>
        <w:rPr>
          <w:rFonts w:hint="eastAsia" w:ascii="宋体" w:hAnsi="宋体" w:eastAsia="宋体" w:cs="宋体"/>
          <w:color w:val="auto"/>
          <w:sz w:val="24"/>
          <w:szCs w:val="28"/>
          <w:highlight w:val="none"/>
          <w:lang w:val="en-US" w:eastAsia="zh-CN"/>
        </w:rPr>
        <w:t xml:space="preserve">二</w:t>
      </w:r>
      <w:r>
        <w:rPr>
          <w:rFonts w:hint="eastAsia" w:ascii="宋体" w:hAnsi="宋体" w:eastAsia="宋体" w:cs="宋体"/>
          <w:color w:val="auto"/>
          <w:sz w:val="24"/>
          <w:szCs w:val="28"/>
          <w:highlight w:val="none"/>
          <w:lang w:eastAsia="zh-CN"/>
        </w:rPr>
        <w:t xml:space="preserve">个标段合计</w:t>
      </w:r>
      <w:r>
        <w:rPr>
          <w:rFonts w:hint="eastAsia" w:ascii="宋体" w:hAnsi="宋体" w:cs="宋体"/>
          <w:color w:val="auto"/>
          <w:sz w:val="24"/>
          <w:szCs w:val="28"/>
          <w:highlight w:val="none"/>
          <w:lang w:val="en-US" w:eastAsia="zh-CN"/>
        </w:rPr>
        <w:t xml:space="preserve">57.75</w:t>
      </w:r>
      <w:r>
        <w:rPr>
          <w:rFonts w:hint="eastAsia" w:ascii="宋体" w:hAnsi="宋体" w:eastAsia="宋体" w:cs="宋体"/>
          <w:color w:val="auto"/>
          <w:sz w:val="24"/>
          <w:szCs w:val="28"/>
          <w:highlight w:val="none"/>
          <w:lang w:eastAsia="zh-CN"/>
        </w:rPr>
        <w:t xml:space="preserve">万元，具体要求详见招标文件第四章项目需求。</w:t>
      </w:r>
      <w:r/>
    </w:p>
    <w:p>
      <w:pPr>
        <w:ind w:firstLine="480"/>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对项目需求部分的询问、质疑请与采购人联系；</w:t>
      </w:r>
      <w:r/>
    </w:p>
    <w:p>
      <w:pPr>
        <w:pStyle w:val="734"/>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5、</w:t>
      </w:r>
      <w:r>
        <w:rPr>
          <w:rFonts w:hint="eastAsia" w:ascii="宋体" w:hAnsi="宋体" w:eastAsia="宋体" w:cs="宋体"/>
          <w:color w:val="auto"/>
          <w:sz w:val="24"/>
          <w:szCs w:val="24"/>
          <w:highlight w:val="none"/>
        </w:rPr>
        <w:t xml:space="preserve">供货方式：分批次供货（接到采购人通知3日内送达指定</w:t>
      </w:r>
      <w:r>
        <w:rPr>
          <w:rFonts w:hint="eastAsia" w:ascii="宋体" w:hAnsi="宋体" w:eastAsia="宋体" w:cs="宋体"/>
          <w:color w:val="auto"/>
          <w:sz w:val="24"/>
          <w:szCs w:val="24"/>
          <w:highlight w:val="none"/>
          <w:lang w:val="en-US" w:eastAsia="zh-CN"/>
        </w:rPr>
        <w:t xml:space="preserve">乡镇</w:t>
      </w:r>
      <w:r>
        <w:rPr>
          <w:rFonts w:hint="eastAsia" w:ascii="宋体" w:hAnsi="宋体" w:eastAsia="宋体" w:cs="宋体"/>
          <w:color w:val="auto"/>
          <w:sz w:val="24"/>
          <w:szCs w:val="24"/>
          <w:highlight w:val="none"/>
        </w:rPr>
        <w:t xml:space="preserve">地点）；</w:t>
      </w:r>
      <w:r/>
    </w:p>
    <w:p>
      <w:pPr>
        <w:pStyle w:val="1001"/>
        <w:ind w:firstLine="480"/>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6、供货期限：合同签订之日起</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个月内完成供货；</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7、本项目</w:t>
      </w:r>
      <w:r>
        <w:rPr>
          <w:rFonts w:hint="eastAsia" w:ascii="宋体" w:hAnsi="宋体" w:eastAsia="宋体" w:cs="宋体"/>
          <w:color w:val="auto"/>
          <w:sz w:val="24"/>
          <w:highlight w:val="none"/>
          <w:u w:val="single"/>
        </w:rPr>
        <w:t xml:space="preserve">不接受</w:t>
      </w:r>
      <w:r>
        <w:rPr>
          <w:rFonts w:hint="eastAsia" w:ascii="宋体" w:hAnsi="宋体" w:eastAsia="宋体" w:cs="宋体"/>
          <w:color w:val="auto"/>
          <w:sz w:val="24"/>
          <w:highlight w:val="none"/>
        </w:rPr>
        <w:t xml:space="preserve">联合体参与磋商。</w:t>
      </w:r>
      <w:r/>
    </w:p>
    <w:p>
      <w:pPr>
        <w:spacing w:line="360" w:lineRule="auto"/>
        <w:rPr>
          <w:rFonts w:hint="eastAsia" w:ascii="宋体" w:hAnsi="宋体" w:eastAsia="宋体" w:cs="宋体"/>
          <w:b/>
          <w:color w:val="auto"/>
          <w:sz w:val="24"/>
          <w:highlight w:val="none"/>
        </w:rPr>
      </w:pPr>
      <w:r/>
      <w:bookmarkStart w:id="15" w:name="_Toc35393630"/>
      <w:r/>
      <w:bookmarkStart w:id="16" w:name="_Toc28359090"/>
      <w:r/>
      <w:bookmarkStart w:id="17" w:name="_Toc28359013"/>
      <w:r/>
      <w:bookmarkStart w:id="18" w:name="_Toc35393799"/>
      <w:r>
        <w:rPr>
          <w:rFonts w:hint="eastAsia" w:ascii="宋体" w:hAnsi="宋体" w:eastAsia="宋体" w:cs="宋体"/>
          <w:b/>
          <w:color w:val="auto"/>
          <w:sz w:val="24"/>
          <w:highlight w:val="none"/>
        </w:rPr>
        <w:t xml:space="preserve">二、申请人的资格要求</w:t>
      </w:r>
      <w:bookmarkEnd w:id="15"/>
      <w:r/>
      <w:bookmarkEnd w:id="16"/>
      <w:r/>
      <w:bookmarkEnd w:id="17"/>
      <w:r/>
      <w:bookmarkEnd w:id="18"/>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1、满足《中华人民共和国政府采购法》第二十二条规定，并提供下列材料：</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（1）法人或者其他组织的营业执照等证明文件，自然人的身份证明；</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（2）具有良好的商业信誉和健全的财务会计制度；（按连财购〔2023〕4号文件要求，符合要求的提交《财务状况报告及税收、社会保障资金缴纳情况承诺函》，并上传至电子响应文件中，详见采购文件）；</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（3）依法缴纳税收和社会保障资金的相关材料；（按连财购〔2023〕4号文件要求，符合要求的提交《财务状况报告及税收、社会保障资金缴纳情况承诺函》，并上传至电子响应文件中，详见采购文件）；</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（4）具备履行合同所必需的设备和专业技术能力的声明及证明材料；</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（5）参加政府采购活动前三年内在经营活动中没有重大违法记录的书面声明；</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在“信用中国”查询，供应商被列入失信被执行人、重大税收违法案件当事人名单、政府采购严重违法失信行为记录名单及具有其他不符合《中华人民共和国政府采购法》第二十二条规定情形的，拒绝其参与政府采购活动。</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7</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法律、行政法规规定的其他条件。</w:t>
      </w:r>
      <w:r/>
    </w:p>
    <w:p>
      <w:pPr>
        <w:ind w:firstLine="480"/>
        <w:spacing w:line="360" w:lineRule="auto"/>
        <w:rPr>
          <w:rFonts w:hint="eastAsia" w:ascii="宋体" w:hAnsi="宋体" w:eastAsia="宋体" w:cs="宋体"/>
          <w:color w:val="auto"/>
          <w:sz w:val="24"/>
          <w:highlight w:val="none"/>
        </w:rPr>
      </w:pPr>
      <w:r/>
      <w:bookmarkStart w:id="19" w:name="_Toc28359014"/>
      <w:r/>
      <w:bookmarkStart w:id="20" w:name="_Toc28359091"/>
      <w:r>
        <w:rPr>
          <w:rFonts w:hint="eastAsia" w:ascii="宋体" w:hAnsi="宋体" w:eastAsia="宋体" w:cs="宋体"/>
          <w:color w:val="auto"/>
          <w:sz w:val="24"/>
          <w:highlight w:val="none"/>
        </w:rPr>
        <w:t xml:space="preserve">2、落实政府采购政策需满足的资格要求：执行财政部、工业和信息化部关于印发《政府采购促进中小企业发展管理办法》的通知(财库[2020]46号)、苏财购[2022]45号，本项目专门面向中型企业、小型企业、微型企业、残疾人福利性单位、监狱企业进行采购，符合文件要求的供应商应提交《中小企业声明函》，并上传至电子响应文件中，具体详见磋商文件。</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3、本项目的特定资格要求：</w:t>
      </w:r>
      <w:r>
        <w:rPr>
          <w:rFonts w:hint="eastAsia" w:ascii="宋体" w:hAnsi="宋体" w:eastAsia="宋体" w:cs="宋体"/>
          <w:color w:val="auto"/>
          <w:sz w:val="24"/>
          <w:highlight w:val="none"/>
          <w:lang w:val="en-US" w:eastAsia="zh-CN"/>
        </w:rPr>
        <w:t xml:space="preserve">无</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4、本项目的其他资格要求：供应商/投标主体及其法定代表人、项目负责人未被列入“连云港市赣榆区行贿人联合惩戒信息库。</w:t>
      </w:r>
      <w:r>
        <w:rPr>
          <w:rFonts w:hint="eastAsia" w:ascii="宋体" w:hAnsi="宋体" w:eastAsia="宋体" w:cs="宋体"/>
          <w:color w:val="auto"/>
          <w:sz w:val="24"/>
          <w:highlight w:val="none"/>
          <w:lang w:eastAsia="zh-CN"/>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b/>
          <w:bCs/>
          <w:color w:val="auto"/>
          <w:sz w:val="24"/>
          <w:highlight w:val="none"/>
          <w:lang w:eastAsia="zh-CN"/>
        </w:rPr>
        <w:t xml:space="preserve">备注:采购人/招标人和区公共资源交易中心通过赣榆区行贿人联合惩戒信息库，对供应商/投标主体情况进行内部查询，查询结果页面打印留存。</w:t>
      </w:r>
      <w:r/>
    </w:p>
    <w:p>
      <w:pPr>
        <w:pStyle w:val="762"/>
        <w:jc w:val="both"/>
        <w:spacing w:before="0" w:beforeAutospacing="0" w:after="0" w:afterAutospacing="0" w:line="360" w:lineRule="auto"/>
        <w:widowControl w:val="off"/>
        <w:rPr>
          <w:rFonts w:hint="eastAsia" w:ascii="宋体" w:hAnsi="宋体" w:eastAsia="宋体" w:cs="宋体"/>
          <w:b/>
          <w:color w:val="auto"/>
          <w:highlight w:val="none"/>
        </w:rPr>
      </w:pPr>
      <w:r/>
      <w:bookmarkStart w:id="21" w:name="_Toc35393631"/>
      <w:r/>
      <w:bookmarkStart w:id="22" w:name="_Toc35393800"/>
      <w:r>
        <w:rPr>
          <w:rFonts w:hint="eastAsia" w:ascii="宋体" w:hAnsi="宋体" w:eastAsia="宋体" w:cs="宋体"/>
          <w:b/>
          <w:color w:val="auto"/>
          <w:highlight w:val="none"/>
        </w:rPr>
        <w:t xml:space="preserve">三、获取</w:t>
      </w:r>
      <w:bookmarkEnd w:id="19"/>
      <w:r/>
      <w:bookmarkEnd w:id="20"/>
      <w:r/>
      <w:bookmarkEnd w:id="21"/>
      <w:r/>
      <w:bookmarkEnd w:id="22"/>
      <w:r>
        <w:rPr>
          <w:rFonts w:hint="eastAsia" w:ascii="宋体" w:hAnsi="宋体" w:eastAsia="宋体" w:cs="宋体"/>
          <w:b/>
          <w:color w:val="auto"/>
          <w:highlight w:val="none"/>
        </w:rPr>
        <w:t xml:space="preserve">磋商文件</w:t>
      </w:r>
      <w:r/>
    </w:p>
    <w:p>
      <w:pPr>
        <w:ind w:firstLine="480"/>
        <w:spacing w:line="360" w:lineRule="auto"/>
        <w:rPr>
          <w:rFonts w:hint="eastAsia" w:ascii="宋体" w:hAnsi="宋体" w:eastAsia="宋体" w:cs="宋体"/>
          <w:color w:val="auto"/>
          <w:sz w:val="24"/>
          <w:highlight w:val="none"/>
        </w:rPr>
      </w:pPr>
      <w:r/>
      <w:bookmarkStart w:id="23" w:name="_Toc35393632"/>
      <w:r/>
      <w:bookmarkStart w:id="24" w:name="_Toc28359015"/>
      <w:r/>
      <w:bookmarkStart w:id="25" w:name="_Toc35393801"/>
      <w:r/>
      <w:bookmarkStart w:id="26" w:name="_Toc28359092"/>
      <w:r>
        <w:rPr>
          <w:rFonts w:hint="eastAsia" w:ascii="宋体" w:hAnsi="宋体" w:eastAsia="宋体" w:cs="宋体"/>
          <w:color w:val="auto"/>
          <w:sz w:val="24"/>
          <w:highlight w:val="none"/>
        </w:rPr>
        <w:t xml:space="preserve">1、时间：自磋商文件公告发布之日起5个工作日。</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2、方式：在“江苏政府采购网”自行免费下载磋商文件。</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3、售价：0元。</w:t>
      </w:r>
      <w:r/>
    </w:p>
    <w:p>
      <w:pP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四、</w:t>
      </w:r>
      <w:bookmarkEnd w:id="23"/>
      <w:r/>
      <w:bookmarkEnd w:id="24"/>
      <w:r/>
      <w:bookmarkEnd w:id="25"/>
      <w:r/>
      <w:bookmarkEnd w:id="26"/>
      <w:r/>
      <w:bookmarkStart w:id="27" w:name="_Toc20177"/>
      <w:r/>
      <w:bookmarkStart w:id="28" w:name="_Toc28359094"/>
      <w:r/>
      <w:bookmarkStart w:id="29" w:name="_Toc35393634"/>
      <w:r/>
      <w:bookmarkStart w:id="30" w:name="_Toc35393803"/>
      <w:r/>
      <w:bookmarkStart w:id="31" w:name="_Toc28359017"/>
      <w:r>
        <w:rPr>
          <w:rFonts w:hint="eastAsia" w:ascii="宋体" w:hAnsi="宋体" w:eastAsia="宋体" w:cs="宋体"/>
          <w:b/>
          <w:color w:val="auto"/>
          <w:sz w:val="24"/>
          <w:highlight w:val="none"/>
        </w:rPr>
        <w:t xml:space="preserve">电子响应文件递交及开标时间和地点</w:t>
      </w:r>
      <w:bookmarkEnd w:id="27"/>
      <w:r/>
      <w:r/>
    </w:p>
    <w:p>
      <w:pPr>
        <w:ind w:firstLine="480"/>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1、响应文件接收截止时间：</w:t>
      </w:r>
      <w:r>
        <w:rPr>
          <w:rFonts w:hint="eastAsia" w:ascii="宋体" w:hAnsi="宋体" w:eastAsia="宋体" w:cs="宋体"/>
          <w:color w:val="auto"/>
          <w:sz w:val="24"/>
          <w:szCs w:val="28"/>
          <w:highlight w:val="white"/>
        </w:rPr>
        <w:t xml:space="preserve">202</w:t>
      </w:r>
      <w:r>
        <w:rPr>
          <w:rFonts w:hint="eastAsia" w:ascii="宋体" w:hAnsi="宋体" w:eastAsia="宋体" w:cs="宋体"/>
          <w:color w:val="auto"/>
          <w:sz w:val="24"/>
          <w:szCs w:val="28"/>
          <w:highlight w:val="white"/>
          <w:lang w:val="en-US" w:eastAsia="zh-CN"/>
        </w:rPr>
        <w:t xml:space="preserve">5</w:t>
      </w:r>
      <w:r>
        <w:rPr>
          <w:rFonts w:hint="eastAsia" w:ascii="宋体" w:hAnsi="宋体" w:eastAsia="宋体" w:cs="宋体"/>
          <w:color w:val="auto"/>
          <w:sz w:val="24"/>
          <w:szCs w:val="28"/>
          <w:highlight w:val="white"/>
        </w:rPr>
        <w:t xml:space="preserve">年</w:t>
      </w:r>
      <w:r>
        <w:rPr>
          <w:rFonts w:hint="eastAsia" w:ascii="宋体" w:hAnsi="宋体" w:cs="宋体"/>
          <w:color w:val="auto"/>
          <w:sz w:val="24"/>
          <w:szCs w:val="28"/>
          <w:highlight w:val="white"/>
          <w:lang w:val="en-US" w:eastAsia="zh-CN"/>
        </w:rPr>
        <w:t xml:space="preserve">12月26</w:t>
      </w:r>
      <w:r>
        <w:rPr>
          <w:rFonts w:hint="eastAsia" w:ascii="宋体" w:hAnsi="宋体" w:eastAsia="宋体" w:cs="宋体"/>
          <w:color w:val="auto"/>
          <w:sz w:val="24"/>
          <w:szCs w:val="28"/>
          <w:highlight w:val="white"/>
        </w:rPr>
        <w:t xml:space="preserve">日09:00:00</w:t>
      </w:r>
      <w:r>
        <w:rPr>
          <w:rFonts w:hint="eastAsia" w:ascii="宋体" w:hAnsi="宋体" w:eastAsia="宋体" w:cs="宋体"/>
          <w:color w:val="auto"/>
          <w:sz w:val="24"/>
          <w:szCs w:val="28"/>
          <w:highlight w:val="none"/>
        </w:rPr>
        <w:t xml:space="preserve">（北京时间）；</w:t>
      </w:r>
      <w:r>
        <w:rPr>
          <w:rFonts w:hint="eastAsia" w:ascii="宋体" w:hAnsi="宋体" w:eastAsia="宋体" w:cs="宋体"/>
          <w:color w:val="auto"/>
          <w:sz w:val="24"/>
          <w:highlight w:val="none"/>
        </w:rPr>
        <w:t xml:space="preserve">逾时，交易系统将拒绝接受上</w:t>
      </w:r>
      <w:r>
        <w:rPr>
          <w:rFonts w:hint="eastAsia" w:ascii="宋体" w:hAnsi="宋体" w:eastAsia="宋体" w:cs="宋体"/>
          <w:color w:val="auto"/>
          <w:sz w:val="24"/>
          <w:szCs w:val="28"/>
          <w:highlight w:val="none"/>
        </w:rPr>
        <w:t xml:space="preserve">传响应文件电子文档。</w:t>
      </w:r>
      <w:r/>
    </w:p>
    <w:p>
      <w:pPr>
        <w:ind w:firstLine="480"/>
        <w:spacing w:line="360" w:lineRule="auto"/>
        <w:rPr>
          <w:rFonts w:hint="eastAsia" w:ascii="宋体" w:hAnsi="宋体" w:eastAsia="宋体" w:cs="宋体"/>
          <w:b/>
          <w:bCs/>
          <w:color w:val="auto"/>
          <w:sz w:val="24"/>
          <w:szCs w:val="28"/>
          <w:highlight w:val="none"/>
        </w:rPr>
      </w:pPr>
      <w:r>
        <w:rPr>
          <w:rFonts w:hint="eastAsia" w:ascii="宋体" w:hAnsi="宋体" w:eastAsia="宋体" w:cs="宋体"/>
          <w:b/>
          <w:bCs/>
          <w:color w:val="auto"/>
          <w:sz w:val="24"/>
          <w:szCs w:val="28"/>
          <w:highlight w:val="none"/>
        </w:rPr>
        <w:t xml:space="preserve">注：本项目采购方式为竞争性磋商，评审过程中依次有磋商环节和二次（最后）报价环节，各供应商请及时关注开标大厅交流区，在开标结束后，请勿离开开标大厅。初步评审环节结束后苏彩云系统将通知供应商在规定时间内进行磋商及最后报价填报，如供应商因个人原因错过相应环节，责任自负。</w:t>
      </w:r>
      <w:r/>
    </w:p>
    <w:p>
      <w:pPr>
        <w:ind w:firstLine="480"/>
        <w:spacing w:line="360" w:lineRule="auto"/>
        <w:rPr>
          <w:rFonts w:hint="eastAsia" w:ascii="宋体" w:hAnsi="宋体" w:eastAsia="宋体" w:cs="宋体"/>
          <w:b/>
          <w:bCs/>
          <w:color w:val="auto"/>
          <w:sz w:val="24"/>
          <w:szCs w:val="28"/>
          <w:highlight w:val="none"/>
        </w:rPr>
      </w:pPr>
      <w:r>
        <w:rPr>
          <w:rFonts w:hint="eastAsia" w:ascii="宋体" w:hAnsi="宋体" w:eastAsia="宋体" w:cs="宋体"/>
          <w:b/>
          <w:bCs/>
          <w:color w:val="auto"/>
          <w:sz w:val="24"/>
          <w:szCs w:val="28"/>
          <w:highlight w:val="none"/>
        </w:rPr>
        <w:t xml:space="preserve">所有的响应供应商须在苏彩云系统规定时间内填写并提交最后报价，未在磋商小组规定的时间内完成最后报价的视为放弃磋商，其磋商响应按无效响应处理。</w:t>
      </w:r>
      <w:r/>
    </w:p>
    <w:p>
      <w:pPr>
        <w:ind w:firstLine="480"/>
        <w:spacing w:line="360" w:lineRule="auto"/>
        <w:rPr>
          <w:rFonts w:hint="eastAsia" w:ascii="宋体" w:hAnsi="宋体" w:eastAsia="宋体" w:cs="宋体"/>
          <w:color w:val="auto"/>
          <w:sz w:val="24"/>
          <w:szCs w:val="28"/>
          <w:highlight w:val="none"/>
        </w:rPr>
      </w:pPr>
      <w:r/>
      <w:bookmarkStart w:id="32" w:name="_Toc28359016"/>
      <w:r/>
      <w:bookmarkStart w:id="33" w:name="_Toc28359093"/>
      <w:r/>
      <w:bookmarkStart w:id="34" w:name="_Toc35393802"/>
      <w:r/>
      <w:bookmarkStart w:id="35" w:name="_Toc35393633"/>
      <w:r>
        <w:rPr>
          <w:rFonts w:hint="eastAsia" w:ascii="宋体" w:hAnsi="宋体" w:eastAsia="宋体" w:cs="宋体"/>
          <w:color w:val="auto"/>
          <w:sz w:val="24"/>
          <w:szCs w:val="28"/>
          <w:highlight w:val="none"/>
        </w:rPr>
        <w:t xml:space="preserve">2、线上开标地点：“苏采云”系统（网址：http://jszfcg.jsczt.cn/）“开标大厅”。</w:t>
      </w:r>
      <w:r/>
    </w:p>
    <w:p>
      <w:pPr>
        <w:ind w:firstLine="480"/>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3、响应文件的解密：开标当天各供应商及时登录不见面开标大厅，响应文件递交截止时间后，采购</w:t>
      </w:r>
      <w:r>
        <w:rPr>
          <w:rFonts w:hint="eastAsia" w:ascii="宋体" w:hAnsi="宋体" w:eastAsia="宋体" w:cs="宋体"/>
          <w:color w:val="auto"/>
          <w:sz w:val="24"/>
          <w:szCs w:val="28"/>
          <w:highlight w:val="none"/>
        </w:rPr>
        <w:t xml:space="preserve">人将在系统内公布供应商名单，然后通过开标会议区发出响应文件解密的指令，供应商在开标室按规定时间自行实施远程解密，供应商解密限定在开标后30分钟之内完成。因供应商网络与电源不稳定、未按操作手册要求配置软硬件、解密锁发生故障或用错、故意不在要求时限内完成解密等自身原因，导致响应文件在规定时间内未能解密、解密失败或解密超时，视为供应商撤销其响应文件，系统内响应文件将被退回；因采购人原因或网上招投标平台发生故障，导致无法按时完成响应文件解密或开、评标工作无法进行的，可根据实际情况相应延迟解密时间或调整开、评标时间。</w:t>
      </w:r>
      <w:bookmarkEnd w:id="32"/>
      <w:r/>
      <w:bookmarkEnd w:id="33"/>
      <w:r/>
      <w:bookmarkEnd w:id="34"/>
      <w:r/>
      <w:bookmarkEnd w:id="35"/>
      <w:r/>
      <w:r/>
    </w:p>
    <w:p>
      <w:pP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五、</w:t>
      </w:r>
      <w:bookmarkEnd w:id="28"/>
      <w:r/>
      <w:bookmarkEnd w:id="29"/>
      <w:r/>
      <w:bookmarkEnd w:id="30"/>
      <w:r/>
      <w:bookmarkEnd w:id="31"/>
      <w:r>
        <w:rPr>
          <w:rFonts w:hint="eastAsia" w:ascii="宋体" w:hAnsi="宋体" w:eastAsia="宋体" w:cs="宋体"/>
          <w:b/>
          <w:color w:val="auto"/>
          <w:sz w:val="24"/>
          <w:highlight w:val="none"/>
        </w:rPr>
        <w:t xml:space="preserve">公告期限</w:t>
      </w:r>
      <w:r/>
    </w:p>
    <w:p>
      <w:pPr>
        <w:ind w:firstLine="480"/>
        <w:spacing w:line="360" w:lineRule="auto"/>
        <w:rPr>
          <w:rFonts w:hint="eastAsia" w:ascii="宋体" w:hAnsi="宋体" w:eastAsia="宋体" w:cs="宋体"/>
          <w:color w:val="auto"/>
          <w:sz w:val="24"/>
          <w:highlight w:val="none"/>
        </w:rPr>
      </w:pPr>
      <w:r/>
      <w:bookmarkStart w:id="36" w:name="_Toc38985268"/>
      <w:r/>
      <w:bookmarkStart w:id="37" w:name="_Toc35393626"/>
      <w:r/>
      <w:bookmarkStart w:id="38" w:name="_Toc35393795"/>
      <w:r>
        <w:rPr>
          <w:rFonts w:hint="eastAsia" w:ascii="宋体" w:hAnsi="宋体" w:eastAsia="宋体" w:cs="宋体"/>
          <w:color w:val="auto"/>
          <w:sz w:val="24"/>
          <w:highlight w:val="none"/>
        </w:rPr>
        <w:t xml:space="preserve">自本公告发布之日起3个工作日。</w:t>
      </w:r>
      <w:bookmarkEnd w:id="36"/>
      <w:r/>
      <w:bookmarkEnd w:id="37"/>
      <w:r/>
      <w:bookmarkEnd w:id="38"/>
      <w:r/>
      <w:r/>
    </w:p>
    <w:p>
      <w:pPr>
        <w:spacing w:line="360" w:lineRule="auto"/>
        <w:rPr>
          <w:rFonts w:hint="eastAsia" w:ascii="宋体" w:hAnsi="宋体" w:eastAsia="宋体" w:cs="宋体"/>
          <w:b/>
          <w:color w:val="auto"/>
          <w:sz w:val="24"/>
          <w:highlight w:val="none"/>
        </w:rPr>
      </w:pPr>
      <w:r/>
      <w:bookmarkStart w:id="39" w:name="_Toc35393804"/>
      <w:r/>
      <w:bookmarkStart w:id="40" w:name="_Toc35393635"/>
      <w:r>
        <w:rPr>
          <w:rFonts w:hint="eastAsia" w:ascii="宋体" w:hAnsi="宋体" w:eastAsia="宋体" w:cs="宋体"/>
          <w:b/>
          <w:color w:val="auto"/>
          <w:sz w:val="24"/>
          <w:highlight w:val="none"/>
        </w:rPr>
        <w:t xml:space="preserve">六、其他补充事宜</w:t>
      </w:r>
      <w:bookmarkEnd w:id="39"/>
      <w:r/>
      <w:bookmarkEnd w:id="40"/>
      <w:r>
        <w:rPr>
          <w:rFonts w:hint="eastAsia" w:ascii="宋体" w:hAnsi="宋体" w:eastAsia="宋体" w:cs="宋体"/>
          <w:b/>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1、本次磋商采购不收取保证金。</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2、本磋商文件中标注★的款项为实质性响应要求和条件，如不满足将按无效响应文件处理。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无论出于何种原因，采购人在采购活动开始前可对采购文件进行修改、补充或变更，其内容作为采购文件的重要组成部分，请各供应商关注江苏政府采购网站。若因供应商自身原因未及时关注本项目有关修改、补充或变更信息，导致响应文件编制或提交失误，由此造成的一切损失由供应商自行承担。</w:t>
      </w:r>
      <w:r/>
    </w:p>
    <w:p>
      <w:pPr>
        <w:spacing w:line="360" w:lineRule="auto"/>
        <w:rPr>
          <w:rFonts w:hint="eastAsia" w:ascii="宋体" w:hAnsi="宋体" w:eastAsia="宋体" w:cs="宋体"/>
          <w:b/>
          <w:color w:val="auto"/>
          <w:sz w:val="24"/>
          <w:highlight w:val="none"/>
        </w:rPr>
      </w:pPr>
      <w:r/>
      <w:bookmarkStart w:id="41" w:name="_Toc35393636"/>
      <w:r/>
      <w:bookmarkStart w:id="42" w:name="_Toc28359095"/>
      <w:r/>
      <w:bookmarkStart w:id="43" w:name="_Toc28359018"/>
      <w:r/>
      <w:bookmarkStart w:id="44" w:name="_Toc35393805"/>
      <w:r>
        <w:rPr>
          <w:rFonts w:hint="eastAsia" w:ascii="宋体" w:hAnsi="宋体" w:eastAsia="宋体" w:cs="宋体"/>
          <w:b/>
          <w:color w:val="auto"/>
          <w:sz w:val="24"/>
          <w:highlight w:val="none"/>
        </w:rPr>
        <w:t xml:space="preserve">七、</w:t>
      </w:r>
      <w:bookmarkEnd w:id="41"/>
      <w:r/>
      <w:bookmarkEnd w:id="42"/>
      <w:r/>
      <w:bookmarkEnd w:id="43"/>
      <w:r/>
      <w:bookmarkEnd w:id="44"/>
      <w:r>
        <w:rPr>
          <w:rFonts w:hint="eastAsia" w:ascii="宋体" w:hAnsi="宋体" w:eastAsia="宋体" w:cs="宋体"/>
          <w:b/>
          <w:color w:val="auto"/>
          <w:sz w:val="24"/>
          <w:highlight w:val="none"/>
        </w:rPr>
        <w:t xml:space="preserve">本次磋商联系方式</w:t>
      </w:r>
      <w:r/>
    </w:p>
    <w:p>
      <w:pPr>
        <w:ind w:firstLine="480"/>
        <w:spacing w:line="360" w:lineRule="auto"/>
        <w:rPr>
          <w:rFonts w:hint="eastAsia" w:ascii="宋体" w:hAnsi="宋体" w:eastAsia="宋体" w:cs="宋体"/>
          <w:color w:val="auto"/>
          <w:sz w:val="24"/>
          <w:highlight w:val="none"/>
        </w:rPr>
      </w:pPr>
      <w:r/>
      <w:bookmarkStart w:id="45" w:name="_Toc35393806"/>
      <w:r/>
      <w:bookmarkStart w:id="46" w:name="_Toc28359019"/>
      <w:r/>
      <w:bookmarkStart w:id="47" w:name="_Toc35393637"/>
      <w:r/>
      <w:bookmarkStart w:id="48" w:name="_Toc28359096"/>
      <w:r>
        <w:rPr>
          <w:rFonts w:hint="eastAsia" w:ascii="宋体" w:hAnsi="宋体" w:eastAsia="宋体" w:cs="宋体"/>
          <w:color w:val="auto"/>
          <w:sz w:val="24"/>
          <w:highlight w:val="none"/>
        </w:rPr>
        <w:t xml:space="preserve">1、采购人信息</w:t>
      </w:r>
      <w:bookmarkEnd w:id="45"/>
      <w:r/>
      <w:bookmarkEnd w:id="46"/>
      <w:r/>
      <w:bookmarkEnd w:id="47"/>
      <w:r/>
      <w:bookmarkEnd w:id="48"/>
      <w:r/>
      <w:r/>
    </w:p>
    <w:p>
      <w:pPr>
        <w:ind w:firstLine="480"/>
        <w:spacing w:line="360" w:lineRule="auto"/>
        <w:rPr>
          <w:rFonts w:hint="eastAsia" w:ascii="宋体" w:hAnsi="宋体" w:eastAsia="宋体" w:cs="宋体"/>
          <w:color w:val="auto"/>
          <w:sz w:val="24"/>
          <w:highlight w:val="none"/>
          <w:lang w:eastAsia="zh-CN"/>
        </w:rPr>
      </w:pPr>
      <w:r/>
      <w:bookmarkStart w:id="49" w:name="_Toc28359097"/>
      <w:r/>
      <w:bookmarkStart w:id="50" w:name="_Toc35393807"/>
      <w:r/>
      <w:bookmarkStart w:id="51" w:name="_Toc28359020"/>
      <w:r/>
      <w:bookmarkStart w:id="52" w:name="_Toc35393638"/>
      <w:r>
        <w:rPr>
          <w:rFonts w:hint="eastAsia" w:ascii="宋体" w:hAnsi="宋体" w:eastAsia="宋体" w:cs="宋体"/>
          <w:color w:val="auto"/>
          <w:sz w:val="24"/>
          <w:highlight w:val="none"/>
        </w:rPr>
        <w:t xml:space="preserve">名称：</w:t>
      </w:r>
      <w:r>
        <w:rPr>
          <w:rFonts w:hint="eastAsia" w:ascii="宋体" w:hAnsi="宋体" w:eastAsia="宋体" w:cs="宋体"/>
          <w:color w:val="auto"/>
          <w:sz w:val="24"/>
          <w:highlight w:val="none"/>
          <w:lang w:eastAsia="zh-CN"/>
        </w:rPr>
        <w:t xml:space="preserve">连云港市赣榆区农村能源环境保护办公室</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地址：连云港市赣榆区黄海东路303号</w:t>
      </w:r>
      <w:r/>
    </w:p>
    <w:p>
      <w:pPr>
        <w:ind w:firstLine="48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联系人：</w:t>
      </w:r>
      <w:r>
        <w:rPr>
          <w:rFonts w:ascii="SimSun" w:hAnsi="SimSun" w:eastAsia="SimSun" w:cs="SimSun"/>
          <w:color w:val="000000"/>
          <w:sz w:val="24"/>
        </w:rPr>
        <w:t xml:space="preserve">张勇</w:t>
      </w:r>
      <w:r>
        <w:rPr>
          <w:rFonts w:hint="eastAsia" w:ascii="宋体" w:hAnsi="宋体" w:eastAsia="宋体" w:cs="宋体"/>
          <w:color w:val="auto"/>
          <w:sz w:val="24"/>
          <w:highlight w:val="none"/>
        </w:rPr>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联系方式：</w:t>
      </w:r>
      <w:r>
        <w:rPr>
          <w:rFonts w:ascii="SimSun" w:hAnsi="SimSun" w:eastAsia="SimSun" w:cs="SimSun"/>
          <w:color w:val="000000"/>
          <w:sz w:val="24"/>
        </w:rPr>
        <w:t xml:space="preserve">13739123789</w:t>
      </w:r>
      <w:r>
        <w:rPr>
          <w:rFonts w:hint="eastAsia" w:ascii="宋体" w:hAnsi="宋体" w:eastAsia="宋体" w:cs="宋体"/>
          <w:color w:val="auto"/>
          <w:sz w:val="24"/>
          <w:highlight w:val="none"/>
        </w:rPr>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2、采购代理机构信息</w:t>
      </w:r>
      <w:bookmarkEnd w:id="49"/>
      <w:r/>
      <w:bookmarkEnd w:id="50"/>
      <w:r/>
      <w:bookmarkEnd w:id="51"/>
      <w:r/>
      <w:bookmarkEnd w:id="52"/>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名称：</w:t>
      </w:r>
      <w:r>
        <w:rPr>
          <w:rFonts w:hint="eastAsia" w:ascii="宋体" w:hAnsi="宋体" w:cs="宋体"/>
          <w:color w:val="auto"/>
          <w:sz w:val="24"/>
          <w:highlight w:val="none"/>
          <w:lang w:eastAsia="zh-CN"/>
        </w:rPr>
        <w:t xml:space="preserve">连云港衡致工程造价咨询有限公司</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地址：</w:t>
      </w:r>
      <w:r>
        <w:rPr>
          <w:rFonts w:hint="eastAsia" w:ascii="宋体" w:hAnsi="宋体" w:cs="宋体"/>
          <w:color w:val="auto"/>
          <w:sz w:val="24"/>
          <w:highlight w:val="none"/>
          <w:lang w:eastAsia="zh-CN"/>
        </w:rPr>
        <w:t xml:space="preserve">江苏省连云港市赣榆区青口镇富山东城海岸小区C区140号</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联系人：</w:t>
      </w:r>
      <w:r>
        <w:rPr>
          <w:rFonts w:hint="eastAsia" w:ascii="宋体" w:hAnsi="宋体" w:cs="宋体"/>
          <w:color w:val="auto"/>
          <w:sz w:val="24"/>
          <w:highlight w:val="none"/>
          <w:lang w:eastAsia="zh-CN"/>
        </w:rPr>
        <w:t xml:space="preserve">尹工</w:t>
      </w:r>
      <w:r/>
    </w:p>
    <w:p>
      <w:pPr>
        <w:ind w:firstLine="480"/>
        <w:spacing w:line="360" w:lineRule="auto"/>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联系方式：</w:t>
      </w:r>
      <w:r>
        <w:rPr>
          <w:rFonts w:ascii="SimSun" w:hAnsi="SimSun" w:eastAsia="SimSun" w:cs="SimSun"/>
          <w:color w:val="000000"/>
          <w:sz w:val="24"/>
        </w:rPr>
        <w:t xml:space="preserve">13337879959</w:t>
      </w:r>
      <w:r>
        <w:rPr>
          <w:rFonts w:hint="eastAsia" w:ascii="宋体" w:hAnsi="宋体" w:eastAsia="宋体" w:cs="宋体"/>
          <w:color w:val="auto"/>
          <w:sz w:val="24"/>
          <w:highlight w:val="none"/>
        </w:rPr>
      </w:r>
      <w:r/>
    </w:p>
    <w:p>
      <w:pP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八、电子采购说明</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1、根据省财政厅《关</w:t>
      </w:r>
      <w:r>
        <w:rPr>
          <w:rFonts w:hint="eastAsia" w:ascii="宋体" w:hAnsi="宋体" w:eastAsia="宋体" w:cs="宋体"/>
          <w:color w:val="auto"/>
          <w:sz w:val="24"/>
          <w:highlight w:val="none"/>
        </w:rPr>
        <w:t xml:space="preserve">于更换全省政府采购交易系统C A数字证书和电子签章的通知》（苏财购〔2023〕101号），“苏采云”政府采购交易系统（以下简称苏采云系统）的CA数字证书、电子签章已更换为江苏省电子政务证书认证中心CA和方正国际软件（北京）有限公司电子签章。如果供应商通过苏采云系统参与政府采购项目，需要更换CA数字证书和电子签章。具体办理指南和操作手册见链接：http://www.ccgpjiangsu.gov.cn/jiangsu/zlxz/ee/ee3a4bc5a3454aa2b0d9312230633ce9.html。</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领取CA和办理电子签章{请至连云港市财政局(海州区海连中路66号)西门向南约20米，由铁门进入办理窗口办理。因交通条件限制，请尽量绿色出行。具体联系方式见《苏采云系统供应商操作手册》（以下简称《操作手册》）}、进行注册并按《操作手册》要求制作、上传电子响应文件。</w:t>
      </w:r>
      <w:r/>
    </w:p>
    <w:p>
      <w:pPr>
        <w:numPr>
          <w:ilvl w:val="0"/>
          <w:numId w:val="3"/>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有关本次磋商的事项若存在变动或修改，敬请及时关注“江苏政府采购网”发布的更正公告。</w:t>
      </w:r>
      <w:r/>
    </w:p>
    <w:p>
      <w:pPr>
        <w:jc w:val="center"/>
        <w:spacing w:line="360" w:lineRule="auto"/>
        <w:rPr>
          <w:rFonts w:hint="eastAsia" w:ascii="宋体" w:hAnsi="宋体" w:eastAsia="宋体" w:cs="宋体"/>
          <w:b/>
          <w:bCs/>
          <w:color w:val="auto"/>
          <w:sz w:val="44"/>
          <w:szCs w:val="44"/>
          <w:highlight w:val="none"/>
        </w:rPr>
        <w:outlineLvl w:val="0"/>
      </w:pPr>
      <w:r>
        <w:rPr>
          <w:rFonts w:hint="eastAsia" w:ascii="宋体" w:hAnsi="宋体" w:eastAsia="宋体" w:cs="宋体"/>
          <w:color w:val="auto"/>
          <w:sz w:val="24"/>
          <w:highlight w:val="none"/>
        </w:rPr>
        <w:br w:type="page" w:clear="all"/>
      </w:r>
      <w:bookmarkStart w:id="53" w:name="_Toc7098"/>
      <w:r/>
      <w:bookmarkStart w:id="54" w:name="_Toc10836"/>
      <w:r/>
      <w:bookmarkStart w:id="55" w:name="_Toc465856612"/>
      <w:r/>
      <w:bookmarkStart w:id="56" w:name="_Toc513029209"/>
      <w:r/>
      <w:bookmarkStart w:id="57" w:name="_Toc61149549"/>
      <w:r/>
      <w:bookmarkStart w:id="58" w:name="_Toc14577347"/>
      <w:r/>
      <w:bookmarkStart w:id="59" w:name="_Toc23310"/>
      <w:r>
        <w:rPr>
          <w:rFonts w:hint="eastAsia" w:ascii="宋体" w:hAnsi="宋体" w:eastAsia="宋体" w:cs="宋体"/>
          <w:b/>
          <w:color w:val="auto"/>
          <w:sz w:val="44"/>
          <w:szCs w:val="20"/>
          <w:highlight w:val="none"/>
        </w:rPr>
        <w:t xml:space="preserve">第二章 </w:t>
      </w:r>
      <w:bookmarkEnd w:id="53"/>
      <w:r/>
      <w:bookmarkEnd w:id="54"/>
      <w:r/>
      <w:bookmarkEnd w:id="55"/>
      <w:r>
        <w:rPr>
          <w:rFonts w:hint="eastAsia" w:ascii="宋体" w:hAnsi="宋体" w:eastAsia="宋体" w:cs="宋体"/>
          <w:b/>
          <w:color w:val="auto"/>
          <w:sz w:val="44"/>
          <w:szCs w:val="20"/>
          <w:highlight w:val="none"/>
        </w:rPr>
        <w:t xml:space="preserve">供应商须知</w:t>
      </w:r>
      <w:bookmarkEnd w:id="56"/>
      <w:r/>
      <w:bookmarkEnd w:id="57"/>
      <w:r/>
      <w:bookmarkEnd w:id="58"/>
      <w:r/>
      <w:bookmarkEnd w:id="59"/>
      <w:r/>
      <w:r/>
    </w:p>
    <w:p>
      <w:pPr>
        <w:ind w:firstLine="482"/>
        <w:jc w:val="left"/>
        <w:spacing w:line="360" w:lineRule="auto"/>
        <w:tabs>
          <w:tab w:val="left" w:pos="900" w:leader="none"/>
        </w:tabs>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一、总则</w:t>
      </w:r>
      <w:r/>
    </w:p>
    <w:p>
      <w:pPr>
        <w:ind w:firstLine="480"/>
        <w:jc w:val="left"/>
        <w:spacing w:line="360" w:lineRule="auto"/>
        <w:tabs>
          <w:tab w:val="left" w:pos="900" w:leader="none"/>
        </w:tabs>
        <w:rPr>
          <w:rFonts w:hint="eastAsia" w:ascii="宋体" w:hAnsi="宋体" w:eastAsia="宋体" w:cs="宋体"/>
          <w:color w:val="auto"/>
          <w:sz w:val="24"/>
          <w:highlight w:val="none"/>
        </w:rPr>
      </w:pPr>
      <w:r/>
      <w:bookmarkStart w:id="60" w:name="_Toc20823276"/>
      <w:r/>
      <w:bookmarkStart w:id="61" w:name="_Toc458694821"/>
      <w:r/>
      <w:bookmarkStart w:id="62" w:name="_Toc16938520"/>
      <w:r/>
      <w:bookmarkStart w:id="63" w:name="_Toc513029204"/>
      <w:r>
        <w:rPr>
          <w:rFonts w:hint="eastAsia" w:ascii="宋体" w:hAnsi="宋体" w:eastAsia="宋体" w:cs="宋体"/>
          <w:color w:val="auto"/>
          <w:sz w:val="24"/>
          <w:highlight w:val="none"/>
        </w:rPr>
        <w:t xml:space="preserve">1</w:t>
      </w:r>
      <w:bookmarkEnd w:id="60"/>
      <w:r>
        <w:rPr>
          <w:rFonts w:hint="eastAsia" w:ascii="宋体" w:hAnsi="宋体" w:eastAsia="宋体" w:cs="宋体"/>
          <w:color w:val="auto"/>
          <w:sz w:val="24"/>
          <w:highlight w:val="none"/>
        </w:rPr>
        <w:t xml:space="preserve">、采购方式</w:t>
      </w:r>
      <w:bookmarkEnd w:id="61"/>
      <w:r/>
      <w:bookmarkEnd w:id="62"/>
      <w:r/>
      <w:bookmarkEnd w:id="63"/>
      <w:r/>
      <w:r/>
    </w:p>
    <w:p>
      <w:pPr>
        <w:ind w:firstLine="480"/>
        <w:jc w:val="left"/>
        <w:spacing w:line="360" w:lineRule="auto"/>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 本次政府采购活动采取竞争性磋商（以下简称磋商）方式，本磋商文件仅适用于磋商公告中所述项目。</w:t>
      </w:r>
      <w:r/>
    </w:p>
    <w:p>
      <w:pPr>
        <w:ind w:firstLine="480"/>
        <w:jc w:val="left"/>
        <w:spacing w:line="360" w:lineRule="auto"/>
        <w:tabs>
          <w:tab w:val="left" w:pos="900" w:leader="none"/>
        </w:tabs>
        <w:rPr>
          <w:rFonts w:hint="eastAsia" w:ascii="宋体" w:hAnsi="宋体" w:eastAsia="宋体" w:cs="宋体"/>
          <w:color w:val="auto"/>
          <w:sz w:val="24"/>
          <w:highlight w:val="none"/>
        </w:rPr>
      </w:pPr>
      <w:r/>
      <w:bookmarkStart w:id="64" w:name="_Toc20823277"/>
      <w:r/>
      <w:bookmarkStart w:id="65" w:name="_Toc513029205"/>
      <w:r/>
      <w:bookmarkStart w:id="66" w:name="_Toc16938521"/>
      <w:r>
        <w:rPr>
          <w:rFonts w:hint="eastAsia" w:ascii="宋体" w:hAnsi="宋体" w:eastAsia="宋体" w:cs="宋体"/>
          <w:color w:val="auto"/>
          <w:sz w:val="24"/>
          <w:highlight w:val="none"/>
        </w:rPr>
        <w:t xml:space="preserve">2、合格的</w:t>
      </w:r>
      <w:bookmarkEnd w:id="64"/>
      <w:r/>
      <w:bookmarkEnd w:id="65"/>
      <w:r/>
      <w:bookmarkEnd w:id="66"/>
      <w:r>
        <w:rPr>
          <w:rFonts w:hint="eastAsia" w:ascii="宋体" w:hAnsi="宋体" w:eastAsia="宋体" w:cs="宋体"/>
          <w:color w:val="auto"/>
          <w:sz w:val="24"/>
          <w:highlight w:val="none"/>
        </w:rPr>
        <w:t xml:space="preserve">供应商</w:t>
      </w:r>
      <w:r/>
    </w:p>
    <w:p>
      <w:pPr>
        <w:ind w:firstLine="480"/>
        <w:jc w:val="left"/>
        <w:spacing w:line="360" w:lineRule="auto"/>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 满足磋商公告中供应商资格要求的规定。</w:t>
      </w:r>
      <w:r/>
    </w:p>
    <w:p>
      <w:pPr>
        <w:ind w:firstLine="480"/>
        <w:jc w:val="left"/>
        <w:spacing w:line="360" w:lineRule="auto"/>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2.2 满足本磋商文件实质性要求和条件的规定。</w:t>
      </w:r>
      <w:r/>
    </w:p>
    <w:p>
      <w:pPr>
        <w:ind w:firstLine="480"/>
        <w:jc w:val="left"/>
        <w:spacing w:line="360" w:lineRule="auto"/>
        <w:tabs>
          <w:tab w:val="left" w:pos="900" w:leader="none"/>
        </w:tabs>
        <w:rPr>
          <w:rFonts w:hint="eastAsia" w:ascii="宋体" w:hAnsi="宋体" w:eastAsia="宋体" w:cs="宋体"/>
          <w:color w:val="auto"/>
          <w:sz w:val="24"/>
          <w:highlight w:val="none"/>
        </w:rPr>
      </w:pPr>
      <w:r/>
      <w:bookmarkStart w:id="67" w:name="_Toc16938522"/>
      <w:r/>
      <w:bookmarkStart w:id="68" w:name="_Toc20823278"/>
      <w:r/>
      <w:bookmarkStart w:id="69" w:name="_Toc513029206"/>
      <w:r>
        <w:rPr>
          <w:rFonts w:hint="eastAsia" w:ascii="宋体" w:hAnsi="宋体" w:eastAsia="宋体" w:cs="宋体"/>
          <w:color w:val="auto"/>
          <w:sz w:val="24"/>
          <w:highlight w:val="none"/>
        </w:rPr>
        <w:t xml:space="preserve">3、适用法律</w:t>
      </w:r>
      <w:bookmarkEnd w:id="67"/>
      <w:r/>
      <w:bookmarkEnd w:id="68"/>
      <w:r/>
      <w:bookmarkEnd w:id="69"/>
      <w:r/>
      <w:r/>
    </w:p>
    <w:p>
      <w:pPr>
        <w:ind w:firstLine="480"/>
        <w:jc w:val="left"/>
        <w:spacing w:line="360" w:lineRule="auto"/>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3.1 本次磋商及由此产生的合同受中华人民共和国有关的法律法规制约和保护。</w:t>
      </w:r>
      <w:r/>
    </w:p>
    <w:p>
      <w:pPr>
        <w:ind w:firstLine="480"/>
        <w:jc w:val="left"/>
        <w:spacing w:line="360" w:lineRule="auto"/>
        <w:tabs>
          <w:tab w:val="left" w:pos="900" w:leader="none"/>
        </w:tabs>
        <w:rPr>
          <w:rFonts w:hint="eastAsia" w:ascii="宋体" w:hAnsi="宋体" w:eastAsia="宋体" w:cs="宋体"/>
          <w:color w:val="auto"/>
          <w:sz w:val="24"/>
          <w:highlight w:val="none"/>
        </w:rPr>
      </w:pPr>
      <w:r/>
      <w:bookmarkStart w:id="70" w:name="_Toc462564067"/>
      <w:r/>
      <w:bookmarkStart w:id="71" w:name="_Toc513029207"/>
      <w:r/>
      <w:bookmarkStart w:id="72" w:name="_Toc16938523"/>
      <w:r/>
      <w:bookmarkStart w:id="73" w:name="_Toc20823279"/>
      <w:r>
        <w:rPr>
          <w:rFonts w:hint="eastAsia" w:ascii="宋体" w:hAnsi="宋体" w:eastAsia="宋体" w:cs="宋体"/>
          <w:color w:val="auto"/>
          <w:sz w:val="24"/>
          <w:highlight w:val="none"/>
        </w:rPr>
        <w:t xml:space="preserve">4、磋商费用</w:t>
      </w:r>
      <w:bookmarkEnd w:id="70"/>
      <w:r/>
      <w:bookmarkEnd w:id="71"/>
      <w:r/>
      <w:bookmarkEnd w:id="72"/>
      <w:r/>
      <w:bookmarkEnd w:id="73"/>
      <w:r/>
      <w:r/>
    </w:p>
    <w:p>
      <w:pPr>
        <w:ind w:firstLine="480"/>
        <w:jc w:val="left"/>
        <w:spacing w:line="360" w:lineRule="auto"/>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4.1 供应商应自行承担所有与参加本次磋商有关的费用，无论磋商过程中的做法和结果如何，</w:t>
      </w:r>
      <w:r>
        <w:rPr>
          <w:rFonts w:hint="eastAsia" w:ascii="宋体" w:hAnsi="宋体" w:cs="宋体"/>
          <w:color w:val="auto"/>
          <w:sz w:val="24"/>
          <w:highlight w:val="none"/>
          <w:lang w:eastAsia="zh-CN"/>
        </w:rPr>
        <w:t xml:space="preserve">连云港衡致工程造价咨询有限公司</w:t>
      </w:r>
      <w:r>
        <w:rPr>
          <w:rFonts w:hint="eastAsia" w:ascii="宋体" w:hAnsi="宋体" w:eastAsia="宋体" w:cs="宋体"/>
          <w:color w:val="auto"/>
          <w:sz w:val="24"/>
          <w:highlight w:val="none"/>
        </w:rPr>
        <w:t xml:space="preserve">（以下简称代理机构）在任何情况下均无义务和责任承担这些费用。</w:t>
      </w:r>
      <w:r/>
    </w:p>
    <w:p>
      <w:pPr>
        <w:ind w:firstLine="480"/>
        <w:jc w:val="left"/>
        <w:spacing w:line="360" w:lineRule="auto"/>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4.2 本次磋商不收取标书工本费。</w:t>
      </w:r>
      <w:r/>
    </w:p>
    <w:p>
      <w:pPr>
        <w:ind w:firstLine="480"/>
        <w:jc w:val="left"/>
        <w:spacing w:line="360" w:lineRule="auto"/>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4.3 本次磋商代理服务费由成交人在接收中标通知书前按江苏省招标投标协会苏招协【2022】002号文，关于印发《江苏省招标代理服务收费的指导意见》的通知”规定货物类标准的</w:t>
      </w:r>
      <w:r>
        <w:rPr>
          <w:rFonts w:hint="eastAsia" w:ascii="宋体" w:hAnsi="宋体" w:cs="宋体"/>
          <w:color w:val="auto"/>
          <w:sz w:val="24"/>
          <w:highlight w:val="none"/>
          <w:lang w:val="en-US" w:eastAsia="zh-CN"/>
        </w:rPr>
        <w:t xml:space="preserve">48</w:t>
      </w:r>
      <w:r>
        <w:rPr>
          <w:rFonts w:hint="eastAsia" w:ascii="宋体" w:hAnsi="宋体" w:eastAsia="宋体" w:cs="宋体"/>
          <w:color w:val="auto"/>
          <w:sz w:val="24"/>
          <w:highlight w:val="none"/>
        </w:rPr>
        <w:t xml:space="preserve">%一次性向代理机构支付。</w:t>
      </w:r>
      <w:r/>
    </w:p>
    <w:p>
      <w:pPr>
        <w:ind w:firstLine="480"/>
        <w:jc w:val="left"/>
        <w:spacing w:line="360" w:lineRule="auto"/>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5、磋商文件的约束力</w:t>
      </w:r>
      <w:r/>
    </w:p>
    <w:p>
      <w:pPr>
        <w:ind w:firstLine="480"/>
        <w:jc w:val="left"/>
        <w:spacing w:line="360" w:lineRule="auto"/>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5.1 供应商一旦参加本项目采购活动，即被认为接受了本磋商文件的规定和约束。</w:t>
      </w:r>
      <w:r/>
    </w:p>
    <w:p>
      <w:pPr>
        <w:ind w:firstLine="482"/>
        <w:jc w:val="left"/>
        <w:spacing w:line="360" w:lineRule="auto"/>
        <w:tabs>
          <w:tab w:val="left" w:pos="900" w:leader="none"/>
        </w:tabs>
        <w:rPr>
          <w:rFonts w:hint="eastAsia" w:ascii="宋体" w:hAnsi="宋体" w:eastAsia="宋体" w:cs="宋体"/>
          <w:b/>
          <w:bCs/>
          <w:color w:val="auto"/>
          <w:sz w:val="24"/>
          <w:highlight w:val="none"/>
        </w:rPr>
      </w:pPr>
      <w:r/>
      <w:bookmarkStart w:id="74" w:name="_Toc20823281"/>
      <w:r/>
      <w:bookmarkStart w:id="75" w:name="_Toc120614215"/>
      <w:r/>
      <w:bookmarkStart w:id="76" w:name="_Toc16938525"/>
      <w:r>
        <w:rPr>
          <w:rFonts w:hint="eastAsia" w:ascii="宋体" w:hAnsi="宋体" w:eastAsia="宋体" w:cs="宋体"/>
          <w:b/>
          <w:bCs/>
          <w:color w:val="auto"/>
          <w:sz w:val="24"/>
          <w:highlight w:val="none"/>
        </w:rPr>
        <w:t xml:space="preserve">二、</w:t>
      </w:r>
      <w:bookmarkEnd w:id="74"/>
      <w:r/>
      <w:bookmarkEnd w:id="75"/>
      <w:r/>
      <w:bookmarkEnd w:id="76"/>
      <w:r>
        <w:rPr>
          <w:rFonts w:hint="eastAsia" w:ascii="宋体" w:hAnsi="宋体" w:eastAsia="宋体" w:cs="宋体"/>
          <w:b/>
          <w:bCs/>
          <w:color w:val="auto"/>
          <w:sz w:val="24"/>
          <w:highlight w:val="none"/>
        </w:rPr>
        <w:t xml:space="preserve">磋商文件</w:t>
      </w:r>
      <w:r/>
    </w:p>
    <w:p>
      <w:pPr>
        <w:ind w:firstLine="480"/>
        <w:jc w:val="left"/>
        <w:spacing w:line="360" w:lineRule="auto"/>
        <w:tabs>
          <w:tab w:val="left" w:pos="900" w:leader="none"/>
        </w:tabs>
        <w:rPr>
          <w:rFonts w:hint="eastAsia" w:ascii="宋体" w:hAnsi="宋体" w:eastAsia="宋体" w:cs="宋体"/>
          <w:color w:val="auto"/>
          <w:sz w:val="24"/>
          <w:highlight w:val="none"/>
        </w:rPr>
      </w:pPr>
      <w:r/>
      <w:bookmarkStart w:id="77" w:name="_Toc513029210"/>
      <w:r/>
      <w:bookmarkStart w:id="78" w:name="_Toc20823282"/>
      <w:r/>
      <w:bookmarkStart w:id="79" w:name="_Toc16938526"/>
      <w:r>
        <w:rPr>
          <w:rFonts w:hint="eastAsia" w:ascii="宋体" w:hAnsi="宋体" w:eastAsia="宋体" w:cs="宋体"/>
          <w:color w:val="auto"/>
          <w:sz w:val="24"/>
          <w:highlight w:val="none"/>
        </w:rPr>
        <w:t xml:space="preserve">6、磋商文件构成</w:t>
      </w:r>
      <w:bookmarkEnd w:id="77"/>
      <w:r/>
      <w:bookmarkEnd w:id="78"/>
      <w:r/>
      <w:bookmarkEnd w:id="79"/>
      <w:r/>
      <w:r/>
    </w:p>
    <w:p>
      <w:pPr>
        <w:ind w:firstLine="480"/>
        <w:jc w:val="left"/>
        <w:spacing w:line="360" w:lineRule="auto"/>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6.1 磋商文件由以下部分组成：</w:t>
      </w:r>
      <w:r/>
    </w:p>
    <w:p>
      <w:pPr>
        <w:ind w:firstLine="480"/>
        <w:jc w:val="left"/>
        <w:spacing w:line="360" w:lineRule="auto"/>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（1）竞争性磋商采购公告</w:t>
      </w:r>
      <w:r/>
    </w:p>
    <w:p>
      <w:pPr>
        <w:ind w:firstLine="480"/>
        <w:jc w:val="left"/>
        <w:spacing w:line="360" w:lineRule="auto"/>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（2）供应商须知</w:t>
      </w:r>
      <w:r/>
    </w:p>
    <w:p>
      <w:pPr>
        <w:ind w:firstLine="480"/>
        <w:jc w:val="left"/>
        <w:spacing w:line="360" w:lineRule="auto"/>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（3）合同文本</w:t>
      </w:r>
      <w:r/>
    </w:p>
    <w:p>
      <w:pPr>
        <w:ind w:firstLine="480"/>
        <w:jc w:val="left"/>
        <w:spacing w:line="360" w:lineRule="auto"/>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（4）采购需求</w:t>
      </w:r>
      <w:r/>
    </w:p>
    <w:p>
      <w:pPr>
        <w:ind w:firstLine="480"/>
        <w:jc w:val="left"/>
        <w:spacing w:line="360" w:lineRule="auto"/>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（5）评审方法与评审标准</w:t>
      </w:r>
      <w:r/>
    </w:p>
    <w:p>
      <w:pPr>
        <w:ind w:firstLine="480"/>
        <w:jc w:val="left"/>
        <w:spacing w:line="360" w:lineRule="auto"/>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（6）响应文件格式</w:t>
      </w:r>
      <w:r/>
    </w:p>
    <w:p>
      <w:pPr>
        <w:ind w:firstLine="480"/>
        <w:jc w:val="left"/>
        <w:spacing w:line="360" w:lineRule="auto"/>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请仔细检查磋商文件是否齐全，如有缺漏请立即与代理机构联系解决。</w:t>
      </w:r>
      <w:r/>
    </w:p>
    <w:p>
      <w:pPr>
        <w:ind w:firstLine="480"/>
        <w:jc w:val="left"/>
        <w:spacing w:line="360" w:lineRule="auto"/>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6.2 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firstLine="480"/>
        <w:jc w:val="left"/>
        <w:spacing w:line="360" w:lineRule="auto"/>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7、磋商文件的澄清</w:t>
      </w:r>
      <w:r/>
    </w:p>
    <w:p>
      <w:pPr>
        <w:ind w:firstLine="480"/>
        <w:jc w:val="left"/>
        <w:spacing w:line="360" w:lineRule="auto"/>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7.1 任何要求对磋商文件进行澄清的供应商，应在响应文件提交截止时间5日前按磋商公告中的通讯地址，以书面形式通知代理机构。</w:t>
      </w:r>
      <w:r/>
    </w:p>
    <w:p>
      <w:pPr>
        <w:ind w:firstLine="480"/>
        <w:jc w:val="left"/>
        <w:spacing w:line="360" w:lineRule="auto"/>
        <w:tabs>
          <w:tab w:val="left" w:pos="900" w:leader="none"/>
        </w:tabs>
        <w:rPr>
          <w:rFonts w:hint="eastAsia" w:ascii="宋体" w:hAnsi="宋体" w:eastAsia="宋体" w:cs="宋体"/>
          <w:color w:val="auto"/>
          <w:sz w:val="24"/>
          <w:highlight w:val="none"/>
        </w:rPr>
      </w:pPr>
      <w:r/>
      <w:bookmarkStart w:id="80" w:name="_Toc462564071"/>
      <w:r/>
      <w:bookmarkStart w:id="81" w:name="_Toc513029212"/>
      <w:r/>
      <w:bookmarkStart w:id="82" w:name="_Toc20823284"/>
      <w:r/>
      <w:bookmarkStart w:id="83" w:name="_Toc16938528"/>
      <w:r>
        <w:rPr>
          <w:rFonts w:hint="eastAsia" w:ascii="宋体" w:hAnsi="宋体" w:eastAsia="宋体" w:cs="宋体"/>
          <w:color w:val="auto"/>
          <w:sz w:val="24"/>
          <w:highlight w:val="none"/>
        </w:rPr>
        <w:t xml:space="preserve">8、磋商文件的澄清和修改</w:t>
      </w:r>
      <w:bookmarkEnd w:id="80"/>
      <w:r/>
      <w:bookmarkEnd w:id="81"/>
      <w:r/>
      <w:bookmarkEnd w:id="82"/>
      <w:r/>
      <w:bookmarkEnd w:id="83"/>
      <w:r/>
      <w:r/>
    </w:p>
    <w:p>
      <w:pPr>
        <w:ind w:firstLine="480"/>
        <w:jc w:val="left"/>
        <w:spacing w:line="360" w:lineRule="auto"/>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8.1 在响应文件提交截止时间前，代理机构可以对磋商文件进行澄清和修改，澄清或者修改的内容作为磋商文件的组成部分。澄清或者修改的内容可能影响响应文件编制的，代理机构将在提交首次响应文件截止时间至少5日前，在“江苏政府采购网”上发布书面更正公告形式通知所有获取磋商文件的供应商，更正公告内容将作为磋商文件的组成部分，并对供应商具有约束力。不足5日的，代理机构将顺延提交首次响应文件截止时间。</w:t>
      </w:r>
      <w:r/>
    </w:p>
    <w:p>
      <w:pPr>
        <w:ind w:firstLine="480"/>
        <w:jc w:val="left"/>
        <w:spacing w:line="360" w:lineRule="auto"/>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8.2 代理机构或采购人可以视采购项目的具体情况，组织供应商进行现场考察或召开磋商前答疑会，但不单独或分别组织只有一个供应商参加的现场考察和答疑会。</w:t>
      </w:r>
      <w:r/>
    </w:p>
    <w:p>
      <w:pPr>
        <w:ind w:firstLine="482"/>
        <w:jc w:val="left"/>
        <w:spacing w:line="360" w:lineRule="auto"/>
        <w:tabs>
          <w:tab w:val="left" w:pos="900" w:leader="none"/>
        </w:tabs>
        <w:rPr>
          <w:rFonts w:hint="eastAsia" w:ascii="宋体" w:hAnsi="宋体" w:eastAsia="宋体" w:cs="宋体"/>
          <w:b/>
          <w:bCs/>
          <w:color w:val="auto"/>
          <w:sz w:val="24"/>
          <w:highlight w:val="none"/>
        </w:rPr>
      </w:pPr>
      <w:r/>
      <w:bookmarkStart w:id="84" w:name="_Hlt26954832"/>
      <w:r/>
      <w:bookmarkEnd w:id="84"/>
      <w:r/>
      <w:bookmarkStart w:id="85" w:name="_Hlt26670345"/>
      <w:r/>
      <w:bookmarkEnd w:id="85"/>
      <w:r/>
      <w:bookmarkStart w:id="86" w:name="_Hlt26954828"/>
      <w:r/>
      <w:bookmarkEnd w:id="86"/>
      <w:r/>
      <w:bookmarkStart w:id="87" w:name="_Hlt26954830"/>
      <w:r/>
      <w:bookmarkEnd w:id="87"/>
      <w:r/>
      <w:bookmarkStart w:id="88" w:name="_Hlt26668969"/>
      <w:r/>
      <w:bookmarkEnd w:id="88"/>
      <w:r/>
      <w:bookmarkStart w:id="89" w:name="_Hlt26670348"/>
      <w:r/>
      <w:bookmarkEnd w:id="89"/>
      <w:r/>
      <w:bookmarkStart w:id="90" w:name="_Hlt26670354"/>
      <w:r/>
      <w:bookmarkEnd w:id="90"/>
      <w:r/>
      <w:bookmarkStart w:id="91" w:name="_Toc61149553"/>
      <w:r/>
      <w:bookmarkStart w:id="92" w:name="_Toc513029213"/>
      <w:r/>
      <w:bookmarkStart w:id="93" w:name="_Toc462564072"/>
      <w:r/>
      <w:bookmarkStart w:id="94" w:name="_Toc14577351"/>
      <w:r>
        <w:rPr>
          <w:rFonts w:hint="eastAsia" w:ascii="宋体" w:hAnsi="宋体" w:eastAsia="宋体" w:cs="宋体"/>
          <w:b/>
          <w:bCs/>
          <w:color w:val="auto"/>
          <w:sz w:val="24"/>
          <w:highlight w:val="none"/>
        </w:rPr>
        <w:t xml:space="preserve">三、响应文件的编制</w:t>
      </w:r>
      <w:bookmarkEnd w:id="91"/>
      <w:r/>
      <w:bookmarkEnd w:id="92"/>
      <w:r/>
      <w:bookmarkEnd w:id="93"/>
      <w:r/>
      <w:bookmarkEnd w:id="94"/>
      <w:r/>
      <w:r/>
    </w:p>
    <w:p>
      <w:pPr>
        <w:ind w:firstLine="480"/>
        <w:jc w:val="left"/>
        <w:spacing w:line="360" w:lineRule="auto"/>
        <w:tabs>
          <w:tab w:val="left" w:pos="900" w:leader="none"/>
        </w:tabs>
        <w:rPr>
          <w:rFonts w:hint="eastAsia" w:ascii="宋体" w:hAnsi="宋体" w:eastAsia="宋体" w:cs="宋体"/>
          <w:color w:val="auto"/>
          <w:sz w:val="24"/>
          <w:highlight w:val="none"/>
        </w:rPr>
      </w:pPr>
      <w:r/>
      <w:bookmarkStart w:id="95" w:name="_Toc20823286"/>
      <w:r/>
      <w:bookmarkStart w:id="96" w:name="_Toc462564073"/>
      <w:r/>
      <w:bookmarkStart w:id="97" w:name="_Toc16938530"/>
      <w:r/>
      <w:bookmarkStart w:id="98" w:name="_Toc513029214"/>
      <w:r>
        <w:rPr>
          <w:rFonts w:hint="eastAsia" w:ascii="宋体" w:hAnsi="宋体" w:eastAsia="宋体" w:cs="宋体"/>
          <w:color w:val="auto"/>
          <w:sz w:val="24"/>
          <w:highlight w:val="none"/>
        </w:rPr>
        <w:t xml:space="preserve">9、响应文件的语言及度量衡单位</w:t>
      </w:r>
      <w:bookmarkEnd w:id="95"/>
      <w:r/>
      <w:bookmarkEnd w:id="96"/>
      <w:r/>
      <w:bookmarkEnd w:id="97"/>
      <w:r/>
      <w:bookmarkEnd w:id="98"/>
      <w:r/>
      <w:r/>
    </w:p>
    <w:p>
      <w:pPr>
        <w:ind w:firstLine="480"/>
        <w:jc w:val="left"/>
        <w:spacing w:line="360" w:lineRule="auto"/>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9.1 供应商提交的响应文件以及供应商与代理机构就有关磋商的所有来往通知、函件和文件均应使用简体中文。</w:t>
      </w:r>
      <w:r/>
    </w:p>
    <w:p>
      <w:pPr>
        <w:ind w:firstLine="480"/>
        <w:jc w:val="left"/>
        <w:spacing w:line="360" w:lineRule="auto"/>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9.2 除技术性能另有规定外，响应文件所使用的度量衡单位，均须采用国家法定计量单位。</w:t>
      </w:r>
      <w:r/>
    </w:p>
    <w:p>
      <w:pPr>
        <w:ind w:firstLine="480"/>
        <w:jc w:val="left"/>
        <w:spacing w:line="360" w:lineRule="auto"/>
        <w:tabs>
          <w:tab w:val="left" w:pos="900" w:leader="none"/>
        </w:tabs>
        <w:rPr>
          <w:rFonts w:hint="eastAsia" w:ascii="宋体" w:hAnsi="宋体" w:eastAsia="宋体" w:cs="宋体"/>
          <w:color w:val="auto"/>
          <w:sz w:val="24"/>
          <w:highlight w:val="none"/>
        </w:rPr>
      </w:pPr>
      <w:r/>
      <w:bookmarkStart w:id="99" w:name="_Toc462564074"/>
      <w:r/>
      <w:bookmarkStart w:id="100" w:name="_Toc16938531"/>
      <w:r/>
      <w:bookmarkStart w:id="101" w:name="_Toc513029215"/>
      <w:r/>
      <w:bookmarkStart w:id="102" w:name="_Toc20823287"/>
      <w:r>
        <w:rPr>
          <w:rFonts w:hint="eastAsia" w:ascii="宋体" w:hAnsi="宋体" w:eastAsia="宋体" w:cs="宋体"/>
          <w:color w:val="auto"/>
          <w:sz w:val="24"/>
          <w:highlight w:val="none"/>
        </w:rPr>
        <w:t xml:space="preserve">10、响应文件构成</w:t>
      </w:r>
      <w:bookmarkEnd w:id="99"/>
      <w:r/>
      <w:bookmarkEnd w:id="100"/>
      <w:r/>
      <w:bookmarkEnd w:id="101"/>
      <w:r/>
      <w:bookmarkEnd w:id="102"/>
      <w:r/>
      <w:r/>
    </w:p>
    <w:p>
      <w:pPr>
        <w:ind w:firstLine="480"/>
        <w:jc w:val="left"/>
        <w:spacing w:line="360" w:lineRule="auto"/>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10.1 供应商编写的响应文件应包括资格证明文件、符合性证明文件、分项报价表、技术要求响应及偏离表、商务要求响应及偏离表、其他证明文件、磋商响应函等部分。</w:t>
      </w:r>
      <w:r/>
    </w:p>
    <w:p>
      <w:pPr>
        <w:ind w:firstLine="480"/>
        <w:jc w:val="left"/>
        <w:spacing w:line="360" w:lineRule="auto"/>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10.2 如标书制作工具中格式和内容与“江苏政府采购网”发布的磋商文件不一致，请以“江苏政府采购网”发布的磋商文件为准。</w:t>
      </w:r>
      <w:r/>
    </w:p>
    <w:p>
      <w:pPr>
        <w:ind w:firstLine="480"/>
        <w:jc w:val="left"/>
        <w:spacing w:line="360" w:lineRule="auto"/>
        <w:tabs>
          <w:tab w:val="left" w:pos="900" w:leader="none"/>
        </w:tabs>
        <w:rPr>
          <w:rFonts w:hint="eastAsia" w:ascii="宋体" w:hAnsi="宋体" w:eastAsia="宋体" w:cs="宋体"/>
          <w:color w:val="auto"/>
          <w:sz w:val="24"/>
          <w:highlight w:val="none"/>
        </w:rPr>
      </w:pPr>
      <w:r/>
      <w:bookmarkStart w:id="103" w:name="_Toc513029219"/>
      <w:r/>
      <w:bookmarkStart w:id="104" w:name="_Toc49090507"/>
      <w:r/>
      <w:bookmarkStart w:id="105" w:name="_Toc14577357"/>
      <w:r/>
      <w:bookmarkStart w:id="106" w:name="_Toc49090509"/>
      <w:r/>
      <w:bookmarkStart w:id="107" w:name="_Toc513029216"/>
      <w:r/>
      <w:bookmarkStart w:id="108" w:name="_Toc14577354"/>
      <w:r/>
      <w:bookmarkStart w:id="109" w:name="_Toc49090508"/>
      <w:r>
        <w:rPr>
          <w:rFonts w:hint="eastAsia" w:ascii="宋体" w:hAnsi="宋体" w:eastAsia="宋体" w:cs="宋体"/>
          <w:color w:val="auto"/>
          <w:sz w:val="24"/>
          <w:highlight w:val="none"/>
        </w:rPr>
        <w:t xml:space="preserve">11、证明磋商响应标的符合磋商文件规定的文件</w:t>
      </w:r>
      <w:bookmarkEnd w:id="103"/>
      <w:r/>
      <w:bookmarkEnd w:id="104"/>
      <w:r/>
      <w:bookmarkEnd w:id="105"/>
      <w:r/>
      <w:bookmarkEnd w:id="106"/>
      <w:r/>
      <w:bookmarkEnd w:id="107"/>
      <w:r/>
      <w:bookmarkEnd w:id="108"/>
      <w:r/>
      <w:bookmarkEnd w:id="109"/>
      <w:r/>
      <w:r/>
    </w:p>
    <w:p>
      <w:pPr>
        <w:ind w:firstLine="480"/>
        <w:jc w:val="left"/>
        <w:spacing w:line="360" w:lineRule="auto"/>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11.1 供应商应按照磋商文件要求提交证明文件，证明其及磋商响应标的符合磋商文件规定。</w:t>
      </w:r>
      <w:r/>
    </w:p>
    <w:p>
      <w:pPr>
        <w:ind w:firstLine="480"/>
        <w:jc w:val="left"/>
        <w:spacing w:line="360" w:lineRule="auto"/>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11.2 磋商文件对证明文件无明确形式要求的，证明文件可以以文字资料、图纸和数据等形式提交。</w:t>
      </w:r>
      <w:r/>
    </w:p>
    <w:p>
      <w:pPr>
        <w:ind w:firstLine="480"/>
        <w:jc w:val="left"/>
        <w:spacing w:line="360" w:lineRule="auto"/>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11.3 供应商应提交证明其有资格参加磋商和成交后有能力独立履行合同的文件，并作为其响应文件的一部分。银行、保险、石油石化、电力、电信等特殊行业法人的分支机构（不具有独立的法人资格）参加本项目政府采购活动的，应当提供总公司出具的愿为其参与采购活动以及履约行为承担民事责任的承诺书（或授权书）。</w:t>
      </w:r>
      <w:r/>
    </w:p>
    <w:p>
      <w:pPr>
        <w:ind w:firstLine="480"/>
        <w:jc w:val="left"/>
        <w:spacing w:line="360" w:lineRule="auto"/>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12、分项报价表</w:t>
      </w:r>
      <w:r/>
    </w:p>
    <w:p>
      <w:pPr>
        <w:ind w:firstLine="480"/>
        <w:jc w:val="left"/>
        <w:spacing w:line="360" w:lineRule="auto"/>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12.1 供应商应按照磋商文件规定格式填报分项报价表。</w:t>
      </w:r>
      <w:r/>
    </w:p>
    <w:p>
      <w:pPr>
        <w:ind w:firstLine="480"/>
        <w:jc w:val="left"/>
        <w:spacing w:line="360" w:lineRule="auto"/>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12.2 磋商货币。响应文件中的单价和总价无特殊规定的采用人民币报价，以元为单位标注。磋商文件中另有规定的按规定执行。</w:t>
      </w:r>
      <w:r/>
    </w:p>
    <w:p>
      <w:pPr>
        <w:ind w:firstLine="480"/>
        <w:jc w:val="left"/>
        <w:spacing w:line="360" w:lineRule="auto"/>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13、技术要求响应及偏离表、商务要求响应及偏离表</w:t>
      </w:r>
      <w:r/>
    </w:p>
    <w:p>
      <w:pPr>
        <w:ind w:firstLine="480"/>
        <w:jc w:val="left"/>
        <w:spacing w:line="360" w:lineRule="auto"/>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13.1 供应商需对磋商文件中的技术要求与商务要求逐项作出响应或偏离，并说明原因。</w:t>
      </w:r>
      <w:r/>
    </w:p>
    <w:p>
      <w:pPr>
        <w:ind w:firstLine="480"/>
        <w:jc w:val="left"/>
        <w:spacing w:line="360" w:lineRule="auto"/>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13.2 供应商可在响应文件中提供认为需要的其他技术文件或说明。</w:t>
      </w:r>
      <w:r/>
    </w:p>
    <w:p>
      <w:pPr>
        <w:ind w:firstLine="480"/>
        <w:jc w:val="left"/>
        <w:spacing w:line="360" w:lineRule="auto"/>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14、服务承诺、培训计划、人员安排及其他</w:t>
      </w:r>
      <w:r/>
    </w:p>
    <w:p>
      <w:pPr>
        <w:ind w:firstLine="480"/>
        <w:jc w:val="left"/>
        <w:spacing w:line="360" w:lineRule="auto"/>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14.1 供应商需根据磋商文件要求提供有关售后服务的管理制度，售后服务机构的分布情况，售后服务人员的数量、素质、技术水平及售后服务的反应能力等。</w:t>
      </w:r>
      <w:r/>
    </w:p>
    <w:p>
      <w:pPr>
        <w:ind w:firstLine="480"/>
        <w:jc w:val="left"/>
        <w:spacing w:line="360" w:lineRule="auto"/>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14.2 供应商需根据磋商文件要求提供培训计划。</w:t>
      </w:r>
      <w:r/>
    </w:p>
    <w:p>
      <w:pPr>
        <w:ind w:firstLine="480"/>
        <w:jc w:val="left"/>
        <w:spacing w:line="360" w:lineRule="auto"/>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14.3 供应商需根据磋商文件要求提供磋商响应标的的主要组成部分、功能设计、实现思路及关键技术等。</w:t>
      </w:r>
      <w:r/>
    </w:p>
    <w:p>
      <w:pPr>
        <w:ind w:firstLine="480"/>
        <w:jc w:val="left"/>
        <w:spacing w:line="360" w:lineRule="auto"/>
        <w:tabs>
          <w:tab w:val="left" w:pos="900" w:leader="none"/>
        </w:tabs>
        <w:rPr>
          <w:rFonts w:hint="eastAsia" w:ascii="宋体" w:hAnsi="宋体" w:eastAsia="宋体" w:cs="宋体"/>
          <w:color w:val="auto"/>
          <w:sz w:val="24"/>
          <w:highlight w:val="none"/>
        </w:rPr>
      </w:pPr>
      <w:r/>
      <w:bookmarkStart w:id="110" w:name="_Toc49090510"/>
      <w:r>
        <w:rPr>
          <w:rFonts w:hint="eastAsia" w:ascii="宋体" w:hAnsi="宋体" w:eastAsia="宋体" w:cs="宋体"/>
          <w:color w:val="auto"/>
          <w:sz w:val="24"/>
          <w:highlight w:val="none"/>
        </w:rPr>
        <w:t xml:space="preserve">15、磋商响应函</w:t>
      </w:r>
      <w:bookmarkEnd w:id="110"/>
      <w:r/>
      <w:r/>
    </w:p>
    <w:p>
      <w:pPr>
        <w:ind w:firstLine="480"/>
        <w:jc w:val="left"/>
        <w:spacing w:line="360" w:lineRule="auto"/>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15.1 供应商应按照磋商文件中提供的格式完整、正确填写磋商响应函。</w:t>
      </w:r>
      <w:r/>
    </w:p>
    <w:p>
      <w:pPr>
        <w:ind w:firstLine="480"/>
        <w:jc w:val="left"/>
        <w:spacing w:line="360" w:lineRule="auto"/>
        <w:tabs>
          <w:tab w:val="left" w:pos="900" w:leader="none"/>
        </w:tabs>
        <w:rPr>
          <w:rFonts w:hint="eastAsia" w:ascii="宋体" w:hAnsi="宋体" w:eastAsia="宋体" w:cs="宋体"/>
          <w:color w:val="auto"/>
          <w:sz w:val="24"/>
          <w:highlight w:val="none"/>
        </w:rPr>
      </w:pPr>
      <w:r/>
      <w:bookmarkStart w:id="111" w:name="_Toc14577360"/>
      <w:r/>
      <w:bookmarkStart w:id="112" w:name="_Toc49090511"/>
      <w:r>
        <w:rPr>
          <w:rFonts w:hint="eastAsia" w:ascii="宋体" w:hAnsi="宋体" w:eastAsia="宋体" w:cs="宋体"/>
          <w:color w:val="auto"/>
          <w:sz w:val="24"/>
          <w:highlight w:val="none"/>
        </w:rPr>
        <w:t xml:space="preserve">16、磋商有效期</w:t>
      </w:r>
      <w:bookmarkEnd w:id="111"/>
      <w:r/>
      <w:bookmarkEnd w:id="112"/>
      <w:r/>
      <w:r/>
    </w:p>
    <w:p>
      <w:pPr>
        <w:ind w:firstLine="480"/>
        <w:jc w:val="left"/>
        <w:spacing w:line="360" w:lineRule="auto"/>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16.1 磋商有效期为代理机构规定的提交响应文件截止之日后</w:t>
      </w:r>
      <w:r>
        <w:rPr>
          <w:rFonts w:hint="eastAsia" w:ascii="宋体" w:hAnsi="宋体" w:eastAsia="宋体" w:cs="宋体"/>
          <w:color w:val="auto"/>
          <w:sz w:val="24"/>
          <w:highlight w:val="none"/>
          <w:u w:val="single"/>
        </w:rPr>
        <w:t xml:space="preserve">六十（60）</w:t>
      </w:r>
      <w:r>
        <w:rPr>
          <w:rFonts w:hint="eastAsia" w:ascii="宋体" w:hAnsi="宋体" w:eastAsia="宋体" w:cs="宋体"/>
          <w:color w:val="auto"/>
          <w:sz w:val="24"/>
          <w:highlight w:val="none"/>
        </w:rPr>
        <w:t xml:space="preserve">天。磋商有效期比规定短的将被视为非实质性响应磋商文件而予以拒绝。</w:t>
      </w:r>
      <w:r/>
    </w:p>
    <w:p>
      <w:pPr>
        <w:ind w:firstLine="480"/>
        <w:jc w:val="left"/>
        <w:spacing w:line="360" w:lineRule="auto"/>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17、磋商有效期的延长</w:t>
      </w:r>
      <w:r/>
    </w:p>
    <w:p>
      <w:pPr>
        <w:ind w:firstLine="480"/>
        <w:jc w:val="left"/>
        <w:spacing w:line="360" w:lineRule="auto"/>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17.1 在特殊情况下，代理机构于原磋商有效期满之前，可向供应商提出延长磋商有效期的要求。这种要求与答复均应采用书面形式。供应商可以拒绝代理机构的这一要求而放弃磋商，同意延长磋商有效期的供应商既不能要求也不允许修改其响应文件。受磋商有效期约束的所有权利与义务均延长至新的有效期。</w:t>
      </w:r>
      <w:r/>
    </w:p>
    <w:p>
      <w:pPr>
        <w:ind w:firstLine="482"/>
        <w:jc w:val="left"/>
        <w:spacing w:line="360" w:lineRule="auto"/>
        <w:tabs>
          <w:tab w:val="left" w:pos="900" w:leader="none"/>
        </w:tabs>
        <w:rPr>
          <w:rFonts w:hint="eastAsia" w:ascii="宋体" w:hAnsi="宋体" w:eastAsia="宋体" w:cs="宋体"/>
          <w:b/>
          <w:bCs/>
          <w:color w:val="auto"/>
          <w:sz w:val="24"/>
          <w:highlight w:val="none"/>
        </w:rPr>
      </w:pPr>
      <w:r/>
      <w:bookmarkStart w:id="113" w:name="_Hlt26670486"/>
      <w:r/>
      <w:bookmarkEnd w:id="113"/>
      <w:r/>
      <w:bookmarkStart w:id="114" w:name="_Hlt26954842"/>
      <w:r/>
      <w:bookmarkEnd w:id="114"/>
      <w:r/>
      <w:bookmarkStart w:id="115" w:name="_Hlt26670489"/>
      <w:r/>
      <w:bookmarkEnd w:id="115"/>
      <w:r/>
      <w:bookmarkStart w:id="116" w:name="_Hlt26954844"/>
      <w:r/>
      <w:bookmarkEnd w:id="116"/>
      <w:r/>
      <w:bookmarkStart w:id="117" w:name="_Hlt26670482"/>
      <w:r/>
      <w:bookmarkEnd w:id="117"/>
      <w:r/>
      <w:bookmarkStart w:id="118" w:name="_Hlt26954734"/>
      <w:r/>
      <w:bookmarkEnd w:id="118"/>
      <w:r/>
      <w:bookmarkStart w:id="119" w:name="_Hlt26954848"/>
      <w:r/>
      <w:bookmarkEnd w:id="119"/>
      <w:r/>
      <w:bookmarkStart w:id="120" w:name="_Hlt26668983"/>
      <w:r/>
      <w:bookmarkEnd w:id="120"/>
      <w:r/>
      <w:bookmarkStart w:id="121" w:name="_Hlt26954850"/>
      <w:r/>
      <w:bookmarkEnd w:id="121"/>
      <w:r/>
      <w:bookmarkStart w:id="122" w:name="_Hlt26670425"/>
      <w:r/>
      <w:bookmarkEnd w:id="122"/>
      <w:r/>
      <w:bookmarkStart w:id="123" w:name="_Hlt26670493"/>
      <w:r/>
      <w:bookmarkEnd w:id="123"/>
      <w:r/>
      <w:bookmarkStart w:id="124" w:name="_Hlt26954836"/>
      <w:r/>
      <w:bookmarkEnd w:id="124"/>
      <w:r/>
      <w:bookmarkStart w:id="125" w:name="_Hlt26954739"/>
      <w:r/>
      <w:bookmarkEnd w:id="125"/>
      <w:r/>
      <w:bookmarkStart w:id="126" w:name="_Hlt26954852"/>
      <w:r/>
      <w:bookmarkEnd w:id="126"/>
      <w:r/>
      <w:bookmarkStart w:id="127" w:name="_Hlt26670403"/>
      <w:r/>
      <w:bookmarkEnd w:id="127"/>
      <w:r/>
      <w:bookmarkStart w:id="128" w:name="_Hlt26954854"/>
      <w:r/>
      <w:bookmarkEnd w:id="128"/>
      <w:r/>
      <w:bookmarkStart w:id="129" w:name="_Hlt26954834"/>
      <w:r/>
      <w:bookmarkEnd w:id="129"/>
      <w:r/>
      <w:bookmarkStart w:id="130" w:name="_Hlt26954846"/>
      <w:r/>
      <w:bookmarkEnd w:id="130"/>
      <w:r/>
      <w:bookmarkStart w:id="131" w:name="_Hlt26670357"/>
      <w:r/>
      <w:bookmarkEnd w:id="131"/>
      <w:r/>
      <w:bookmarkStart w:id="132" w:name="_Hlt26954731"/>
      <w:r/>
      <w:bookmarkEnd w:id="132"/>
      <w:r/>
      <w:bookmarkStart w:id="133" w:name="_Hlt26954749"/>
      <w:r/>
      <w:bookmarkEnd w:id="133"/>
      <w:r/>
      <w:bookmarkStart w:id="134" w:name="_Toc16938540"/>
      <w:r/>
      <w:bookmarkStart w:id="135" w:name="_Toc120614217"/>
      <w:r/>
      <w:bookmarkStart w:id="136" w:name="_Toc20823296"/>
      <w:r/>
      <w:bookmarkStart w:id="137" w:name="_Toc14577362"/>
      <w:r/>
      <w:bookmarkStart w:id="138" w:name="_Toc61149562"/>
      <w:r/>
      <w:bookmarkStart w:id="139" w:name="_Toc513029224"/>
      <w:r>
        <w:rPr>
          <w:rFonts w:hint="eastAsia" w:ascii="宋体" w:hAnsi="宋体" w:eastAsia="宋体" w:cs="宋体"/>
          <w:b/>
          <w:bCs/>
          <w:color w:val="auto"/>
          <w:sz w:val="24"/>
          <w:highlight w:val="none"/>
        </w:rPr>
        <w:t xml:space="preserve">四、响应文件的递交</w:t>
      </w:r>
      <w:bookmarkEnd w:id="134"/>
      <w:r/>
      <w:bookmarkEnd w:id="135"/>
      <w:r/>
      <w:bookmarkEnd w:id="136"/>
      <w:r/>
      <w:r/>
    </w:p>
    <w:p>
      <w:pPr>
        <w:ind w:firstLine="480"/>
        <w:jc w:val="left"/>
        <w:spacing w:line="360" w:lineRule="auto"/>
        <w:tabs>
          <w:tab w:val="left" w:pos="900" w:leader="none"/>
        </w:tabs>
        <w:rPr>
          <w:rFonts w:hint="eastAsia" w:ascii="宋体" w:hAnsi="宋体" w:eastAsia="宋体" w:cs="宋体"/>
          <w:color w:val="auto"/>
          <w:sz w:val="24"/>
          <w:highlight w:val="none"/>
        </w:rPr>
      </w:pPr>
      <w:r/>
      <w:bookmarkStart w:id="140" w:name="_Toc20823297"/>
      <w:r/>
      <w:bookmarkStart w:id="141" w:name="_Toc16938541"/>
      <w:r/>
      <w:bookmarkStart w:id="142" w:name="_Toc513029225"/>
      <w:r/>
      <w:bookmarkStart w:id="143" w:name="_Toc462564084"/>
      <w:r>
        <w:rPr>
          <w:rFonts w:hint="eastAsia" w:ascii="宋体" w:hAnsi="宋体" w:eastAsia="宋体" w:cs="宋体"/>
          <w:color w:val="auto"/>
          <w:sz w:val="24"/>
          <w:highlight w:val="none"/>
        </w:rPr>
        <w:t xml:space="preserve">18、电子磋商</w:t>
      </w:r>
      <w:bookmarkEnd w:id="140"/>
      <w:r/>
      <w:bookmarkEnd w:id="141"/>
      <w:r/>
      <w:bookmarkEnd w:id="142"/>
      <w:r/>
      <w:bookmarkEnd w:id="143"/>
      <w:r>
        <w:rPr>
          <w:rFonts w:hint="eastAsia" w:ascii="宋体" w:hAnsi="宋体" w:eastAsia="宋体" w:cs="宋体"/>
          <w:color w:val="auto"/>
          <w:sz w:val="24"/>
          <w:highlight w:val="none"/>
        </w:rPr>
        <w:t xml:space="preserve">响应文件的递交</w:t>
      </w:r>
      <w:r/>
    </w:p>
    <w:p>
      <w:pPr>
        <w:ind w:firstLine="480"/>
        <w:jc w:val="left"/>
        <w:spacing w:line="360" w:lineRule="auto"/>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18.1 供应商应当按照《操作手册》规定，在提交响应文件截止时间前制作并上传电子响应文件。</w:t>
      </w:r>
      <w:bookmarkStart w:id="144" w:name="_Toc16938542"/>
      <w:r/>
      <w:bookmarkEnd w:id="144"/>
      <w:r/>
      <w:bookmarkStart w:id="145" w:name="_Toc20823298"/>
      <w:r/>
      <w:bookmarkEnd w:id="145"/>
      <w:r/>
      <w:r/>
    </w:p>
    <w:p>
      <w:pPr>
        <w:ind w:firstLine="480"/>
        <w:jc w:val="left"/>
        <w:spacing w:line="360" w:lineRule="auto"/>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19、提交响应文件截止时间</w:t>
      </w:r>
      <w:r/>
    </w:p>
    <w:p>
      <w:pPr>
        <w:pStyle w:val="762"/>
        <w:ind w:firstLine="480"/>
        <w:jc w:val="both"/>
        <w:spacing w:before="0" w:beforeAutospacing="0" w:after="0" w:afterAutospacing="0" w:line="360" w:lineRule="auto"/>
        <w:widowControl w:val="off"/>
        <w:rPr>
          <w:rFonts w:hint="eastAsia" w:ascii="宋体" w:hAnsi="宋体" w:eastAsia="宋体" w:cs="宋体"/>
          <w:i/>
          <w:iCs/>
          <w:color w:val="auto"/>
          <w:highlight w:val="none"/>
        </w:rPr>
      </w:pPr>
      <w:r>
        <w:rPr>
          <w:rFonts w:hint="eastAsia" w:ascii="宋体" w:hAnsi="宋体" w:eastAsia="宋体" w:cs="宋体"/>
          <w:color w:val="auto"/>
          <w:highlight w:val="none"/>
        </w:rPr>
        <w:t xml:space="preserve">19.1 </w:t>
      </w:r>
      <w:r>
        <w:rPr>
          <w:rFonts w:hint="eastAsia" w:ascii="宋体" w:hAnsi="宋体" w:eastAsia="宋体" w:cs="宋体"/>
          <w:i/>
          <w:iCs/>
          <w:color w:val="auto"/>
          <w:highlight w:val="none"/>
          <w:u w:val="single"/>
        </w:rPr>
        <w:t xml:space="preserve">供应商上传电子响应文件的时间不得迟于磋商公告中规定的提交响应文件截止时间</w:t>
      </w:r>
      <w:r>
        <w:rPr>
          <w:rFonts w:hint="eastAsia" w:ascii="宋体" w:hAnsi="宋体" w:eastAsia="宋体" w:cs="宋体"/>
          <w:color w:val="auto"/>
          <w:highlight w:val="none"/>
          <w:u w:val="single"/>
        </w:rPr>
        <w:t xml:space="preserve">。</w:t>
      </w:r>
      <w:r/>
    </w:p>
    <w:p>
      <w:pPr>
        <w:pStyle w:val="762"/>
        <w:ind w:firstLine="480"/>
        <w:jc w:val="both"/>
        <w:spacing w:before="0" w:beforeAutospacing="0" w:after="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供应商应充分考虑到网络环境、网络带宽等风险因素，如因供应商自身原因造成的电子响应文件上传不成功的按照本磋商文件第二章第26.3.2条规定做无效响应处理。</w:t>
      </w:r>
      <w:r/>
    </w:p>
    <w:p>
      <w:pPr>
        <w:pStyle w:val="762"/>
        <w:ind w:firstLine="480"/>
        <w:jc w:val="both"/>
        <w:spacing w:before="0" w:beforeAutospacing="0" w:after="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19.2 代理机构可以按照规定，通过修改磋商文件酌情延长提交响应文件截止日期，在此情况下，供应商的所有权利和义务以及供应商受制的截止日期均应以延长后新的截止日期为准。</w:t>
      </w:r>
      <w:r/>
    </w:p>
    <w:p>
      <w:pPr>
        <w:pStyle w:val="762"/>
        <w:ind w:firstLine="480"/>
        <w:jc w:val="both"/>
        <w:keepLines/>
        <w:keepNext/>
        <w:spacing w:before="0" w:beforeAutospacing="0" w:after="0" w:afterAutospacing="0" w:line="360" w:lineRule="auto"/>
        <w:widowControl w:val="off"/>
        <w:rPr>
          <w:rFonts w:hint="eastAsia" w:ascii="宋体" w:hAnsi="宋体" w:eastAsia="宋体" w:cs="宋体"/>
          <w:color w:val="auto"/>
          <w:highlight w:val="none"/>
        </w:rPr>
      </w:pPr>
      <w:r/>
      <w:bookmarkStart w:id="146" w:name="_Toc513029227"/>
      <w:r/>
      <w:bookmarkStart w:id="147" w:name="_Toc16938543"/>
      <w:r/>
      <w:bookmarkStart w:id="148" w:name="_Toc20823299"/>
      <w:r>
        <w:rPr>
          <w:rFonts w:hint="eastAsia" w:ascii="宋体" w:hAnsi="宋体" w:eastAsia="宋体" w:cs="宋体"/>
          <w:color w:val="auto"/>
          <w:highlight w:val="none"/>
        </w:rPr>
        <w:t xml:space="preserve">20、响应文件</w:t>
      </w:r>
      <w:bookmarkEnd w:id="146"/>
      <w:r/>
      <w:bookmarkEnd w:id="147"/>
      <w:r/>
      <w:bookmarkEnd w:id="148"/>
      <w:r>
        <w:rPr>
          <w:rFonts w:hint="eastAsia" w:ascii="宋体" w:hAnsi="宋体" w:eastAsia="宋体" w:cs="宋体"/>
          <w:color w:val="auto"/>
          <w:highlight w:val="none"/>
        </w:rPr>
        <w:t xml:space="preserve">的拒收</w:t>
      </w:r>
      <w:r/>
    </w:p>
    <w:p>
      <w:pPr>
        <w:pStyle w:val="762"/>
        <w:ind w:firstLine="480"/>
        <w:jc w:val="both"/>
        <w:spacing w:before="0" w:beforeAutospacing="0" w:after="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20.1 代理机构拒绝接收在其规定的提交响应文件截止时间后上传的任何电子响应文件。</w:t>
      </w:r>
      <w:r/>
    </w:p>
    <w:p>
      <w:pPr>
        <w:pStyle w:val="762"/>
        <w:ind w:firstLine="480"/>
        <w:jc w:val="both"/>
        <w:keepLines/>
        <w:keepNext/>
        <w:spacing w:before="0" w:beforeAutospacing="0" w:after="0" w:afterAutospacing="0" w:line="360" w:lineRule="auto"/>
        <w:widowControl w:val="off"/>
        <w:rPr>
          <w:rFonts w:hint="eastAsia" w:ascii="宋体" w:hAnsi="宋体" w:eastAsia="宋体" w:cs="宋体"/>
          <w:color w:val="auto"/>
          <w:highlight w:val="none"/>
        </w:rPr>
      </w:pPr>
      <w:r/>
      <w:bookmarkStart w:id="149" w:name="_Toc16938544"/>
      <w:r/>
      <w:bookmarkStart w:id="150" w:name="_Toc513029228"/>
      <w:r/>
      <w:bookmarkStart w:id="151" w:name="_Toc20823300"/>
      <w:r>
        <w:rPr>
          <w:rFonts w:hint="eastAsia" w:ascii="宋体" w:hAnsi="宋体" w:eastAsia="宋体" w:cs="宋体"/>
          <w:color w:val="auto"/>
          <w:highlight w:val="none"/>
        </w:rPr>
        <w:t xml:space="preserve">21、响应文件的撤回和修改</w:t>
      </w:r>
      <w:bookmarkEnd w:id="149"/>
      <w:r/>
      <w:bookmarkEnd w:id="150"/>
      <w:r/>
      <w:bookmarkEnd w:id="151"/>
      <w:r/>
      <w:r/>
    </w:p>
    <w:p>
      <w:pPr>
        <w:pStyle w:val="762"/>
        <w:ind w:firstLine="480"/>
        <w:jc w:val="both"/>
        <w:spacing w:before="0" w:beforeAutospacing="0" w:after="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21.1 响应文件的撤回</w:t>
      </w:r>
      <w:r/>
    </w:p>
    <w:p>
      <w:pPr>
        <w:pStyle w:val="762"/>
        <w:ind w:firstLine="480"/>
        <w:jc w:val="both"/>
        <w:spacing w:before="0" w:beforeAutospacing="0" w:after="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21.1.1电子响应文件的撤回</w:t>
      </w:r>
      <w:r/>
    </w:p>
    <w:p>
      <w:pPr>
        <w:pStyle w:val="762"/>
        <w:ind w:firstLine="480"/>
        <w:jc w:val="both"/>
        <w:spacing w:before="0" w:beforeAutospacing="0" w:after="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供应商可在提交响应文件截止时间前，撤回其电子响应文件，具体操作方法见《操作手册》。</w:t>
      </w:r>
      <w:r/>
    </w:p>
    <w:p>
      <w:pPr>
        <w:pStyle w:val="762"/>
        <w:ind w:firstLine="480"/>
        <w:jc w:val="both"/>
        <w:spacing w:before="0" w:beforeAutospacing="0" w:after="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21.1.2供应商撤回电子响应文件，则认为其不再参与本项目磋商活动。</w:t>
      </w:r>
      <w:r/>
    </w:p>
    <w:p>
      <w:pPr>
        <w:pStyle w:val="762"/>
        <w:ind w:firstLine="480"/>
        <w:jc w:val="both"/>
        <w:spacing w:before="0" w:beforeAutospacing="0" w:after="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21.2 响应文件的修改</w:t>
      </w:r>
      <w:r/>
    </w:p>
    <w:p>
      <w:pPr>
        <w:pStyle w:val="762"/>
        <w:ind w:firstLine="480"/>
        <w:jc w:val="both"/>
        <w:spacing w:before="0" w:beforeAutospacing="0" w:after="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供应商可在提交响应文件截止时间前，对其电子响应文件进行修改，具体操作方法见《操作手册》。</w:t>
      </w:r>
      <w:r/>
    </w:p>
    <w:p>
      <w:pPr>
        <w:pStyle w:val="762"/>
        <w:ind w:firstLine="480"/>
        <w:jc w:val="both"/>
        <w:spacing w:before="0" w:beforeAutospacing="0" w:after="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21.3 在提交响应文件截止时间之后，供应商不得对其电子响应文件作任何修改。</w:t>
      </w:r>
      <w:r/>
    </w:p>
    <w:p>
      <w:pPr>
        <w:pStyle w:val="762"/>
        <w:ind w:firstLine="480"/>
        <w:jc w:val="both"/>
        <w:spacing w:before="0" w:beforeAutospacing="0" w:after="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21.4 在提交响应文件截止时间至磋商文件中规定的磋商有效期满之间的这段时间内，供应商不得撤回其响应文件。</w:t>
      </w:r>
      <w:r/>
    </w:p>
    <w:p>
      <w:pPr>
        <w:pStyle w:val="762"/>
        <w:ind w:firstLine="482"/>
        <w:jc w:val="both"/>
        <w:keepLines/>
        <w:keepNext/>
        <w:spacing w:before="0" w:beforeAutospacing="0" w:after="0" w:afterAutospacing="0" w:line="360" w:lineRule="auto"/>
        <w:widowControl w:val="off"/>
        <w:rPr>
          <w:rFonts w:hint="eastAsia" w:ascii="宋体" w:hAnsi="宋体" w:eastAsia="宋体" w:cs="宋体"/>
          <w:color w:val="auto"/>
          <w:highlight w:val="none"/>
        </w:rPr>
      </w:pPr>
      <w:r/>
      <w:bookmarkStart w:id="152" w:name="_Toc20823301"/>
      <w:r/>
      <w:bookmarkStart w:id="153" w:name="_Toc120614218"/>
      <w:r/>
      <w:bookmarkStart w:id="154" w:name="_Toc16938545"/>
      <w:r/>
      <w:bookmarkStart w:id="155" w:name="_Toc513029229"/>
      <w:r>
        <w:rPr>
          <w:rFonts w:hint="eastAsia" w:ascii="宋体" w:hAnsi="宋体" w:eastAsia="宋体" w:cs="宋体"/>
          <w:b/>
          <w:bCs/>
          <w:color w:val="auto"/>
          <w:highlight w:val="none"/>
        </w:rPr>
        <w:t xml:space="preserve">五、响应文件的解密与评审</w:t>
      </w:r>
      <w:bookmarkEnd w:id="152"/>
      <w:r/>
      <w:bookmarkEnd w:id="153"/>
      <w:r/>
      <w:bookmarkEnd w:id="154"/>
      <w:r/>
      <w:bookmarkEnd w:id="155"/>
      <w:r/>
      <w:r/>
    </w:p>
    <w:p>
      <w:pPr>
        <w:pStyle w:val="762"/>
        <w:ind w:firstLine="480"/>
        <w:jc w:val="both"/>
        <w:keepLines/>
        <w:keepNext/>
        <w:spacing w:before="0" w:beforeAutospacing="0" w:after="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22、响应文件解密</w:t>
      </w:r>
      <w:r/>
    </w:p>
    <w:p>
      <w:pPr>
        <w:pStyle w:val="762"/>
        <w:ind w:firstLine="480"/>
        <w:jc w:val="both"/>
        <w:spacing w:before="0" w:beforeAutospacing="0" w:after="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22.1 供应商应当按照《操作手册》规定，在苏采云系统规定的时间内对磋商响应文件进行解密。</w:t>
      </w:r>
      <w:r/>
    </w:p>
    <w:p>
      <w:pPr>
        <w:pStyle w:val="762"/>
        <w:ind w:firstLine="480"/>
        <w:jc w:val="both"/>
        <w:keepLines/>
        <w:keepNext/>
        <w:spacing w:before="0" w:beforeAutospacing="0" w:after="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23、磋商小组</w:t>
      </w:r>
      <w:r/>
    </w:p>
    <w:p>
      <w:pPr>
        <w:pStyle w:val="762"/>
        <w:ind w:firstLine="480"/>
        <w:jc w:val="both"/>
        <w:spacing w:before="0" w:beforeAutospacing="0" w:after="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23.1 代理机构将组织磋商小组对响应文件进行评审。磋商小组由采购人代表和有关技术、经济等方面的专家组成，且人员构成符合政府采购有关规定。</w:t>
      </w:r>
      <w:r/>
    </w:p>
    <w:p>
      <w:pPr>
        <w:pStyle w:val="762"/>
        <w:ind w:firstLine="480"/>
        <w:jc w:val="both"/>
        <w:spacing w:before="0" w:beforeAutospacing="0" w:after="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23.2 磋商小组独立工作，负责评审所有响应文件并确定成交候选人。</w:t>
      </w:r>
      <w:r/>
    </w:p>
    <w:p>
      <w:pPr>
        <w:pStyle w:val="762"/>
        <w:ind w:firstLine="480"/>
        <w:jc w:val="both"/>
        <w:keepLines/>
        <w:keepNext/>
        <w:spacing w:before="0" w:beforeAutospacing="0" w:after="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24、评审过程的保密与公正</w:t>
      </w:r>
      <w:r/>
    </w:p>
    <w:p>
      <w:pPr>
        <w:pStyle w:val="762"/>
        <w:ind w:firstLine="480"/>
        <w:jc w:val="both"/>
        <w:spacing w:before="0" w:beforeAutospacing="0" w:after="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24.1 磋商小组、采购人和代理机构工作人员、相关监督人员等与评审工作有关的人员，对评审情况以及在评审过程中获悉的国家秘密、商业秘密负有保密责任。</w:t>
      </w:r>
      <w:r/>
    </w:p>
    <w:p>
      <w:pPr>
        <w:pStyle w:val="762"/>
        <w:ind w:firstLine="480"/>
        <w:jc w:val="both"/>
        <w:spacing w:before="0" w:beforeAutospacing="0" w:after="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24.2 在评审过程中，供应商不得以任何行为影响磋商评审过程，否则其响应文件将被作为无效响应文件。</w:t>
      </w:r>
      <w:r/>
    </w:p>
    <w:p>
      <w:pPr>
        <w:pStyle w:val="762"/>
        <w:ind w:firstLine="480"/>
        <w:jc w:val="both"/>
        <w:spacing w:before="0" w:beforeAutospacing="0" w:after="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24.3 在项目评审期间，代理机构将设专门人员与供应商联系。</w:t>
      </w:r>
      <w:r/>
    </w:p>
    <w:p>
      <w:pPr>
        <w:pStyle w:val="762"/>
        <w:ind w:firstLine="480"/>
        <w:jc w:val="both"/>
        <w:spacing w:before="0" w:beforeAutospacing="0" w:after="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24.4 代理机构和磋商小组不向未成交的供应商解释未成交原因，也不公布评审过程中的相关细节。</w:t>
      </w:r>
      <w:r/>
    </w:p>
    <w:p>
      <w:pPr>
        <w:pStyle w:val="762"/>
        <w:ind w:firstLine="480"/>
        <w:jc w:val="both"/>
        <w:keepLines/>
        <w:keepNext/>
        <w:spacing w:before="0" w:beforeAutospacing="0" w:after="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25、评审过程中的的澄清</w:t>
      </w:r>
      <w:r/>
    </w:p>
    <w:p>
      <w:pPr>
        <w:pStyle w:val="762"/>
        <w:ind w:firstLine="480"/>
        <w:jc w:val="both"/>
        <w:spacing w:before="0" w:beforeAutospacing="0" w:after="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25.1 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pStyle w:val="762"/>
        <w:ind w:firstLine="480"/>
        <w:jc w:val="both"/>
        <w:spacing w:before="0" w:beforeAutospacing="0" w:after="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磋商小组并非对每个供应商都作澄清要求。</w:t>
      </w:r>
      <w:r/>
    </w:p>
    <w:p>
      <w:pPr>
        <w:pStyle w:val="762"/>
        <w:ind w:firstLine="480"/>
        <w:jc w:val="both"/>
        <w:spacing w:before="0" w:beforeAutospacing="0" w:after="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25.2 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pStyle w:val="762"/>
        <w:ind w:firstLine="480"/>
        <w:jc w:val="both"/>
        <w:spacing w:before="0" w:beforeAutospacing="0" w:after="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25.3 接到磋商小组澄清、说明和更正要求的供应商如未按规定做出澄清、说明和更正，其风险由供应商自行承担。</w:t>
      </w:r>
      <w:r/>
    </w:p>
    <w:p>
      <w:pPr>
        <w:pStyle w:val="762"/>
        <w:ind w:firstLine="480"/>
        <w:jc w:val="both"/>
        <w:keepLines/>
        <w:keepNext/>
        <w:spacing w:before="0" w:beforeAutospacing="0" w:after="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26、对响应文件的审查</w:t>
      </w:r>
      <w:r/>
    </w:p>
    <w:p>
      <w:pPr>
        <w:pStyle w:val="762"/>
        <w:ind w:firstLine="480"/>
        <w:jc w:val="both"/>
        <w:spacing w:before="0" w:beforeAutospacing="0" w:after="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26.1 响应文件审查分为资格审查和符合性审查。</w:t>
      </w:r>
      <w:r/>
    </w:p>
    <w:p>
      <w:pPr>
        <w:pStyle w:val="762"/>
        <w:ind w:firstLine="480"/>
        <w:jc w:val="both"/>
        <w:spacing w:before="0" w:beforeAutospacing="0" w:after="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26.1.1资格审查：由磋商小组依据法律法规和磋商文件的规定，对响应文件中的资格证明文件进行审查，以确定供应商是否具备参加磋商的资格。</w:t>
      </w:r>
      <w:r/>
    </w:p>
    <w:p>
      <w:pPr>
        <w:pStyle w:val="762"/>
        <w:ind w:firstLine="480"/>
        <w:jc w:val="both"/>
        <w:spacing w:before="0" w:beforeAutospacing="0" w:after="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磋商小组在进行资格审查的同时，将在“信用中国”网站（www.creditchina.gov.cn）、查询供应商的信用记录，以确定供应商是否具备磋商资格。</w:t>
      </w:r>
      <w:r/>
    </w:p>
    <w:p>
      <w:pPr>
        <w:pStyle w:val="762"/>
        <w:ind w:firstLine="480"/>
        <w:jc w:val="both"/>
        <w:spacing w:before="0" w:beforeAutospacing="0" w:after="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pStyle w:val="762"/>
        <w:ind w:firstLine="480"/>
        <w:jc w:val="both"/>
        <w:spacing w:before="0" w:beforeAutospacing="0" w:after="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26.1.2符合性审查：依据磋商文件的规定，由磋商小组从响应文件的有效性、完整性和对磋商文件的响应程度进行审查，以确定是否对磋商文件的实质性要求作出响应。</w:t>
      </w:r>
      <w:r/>
    </w:p>
    <w:p>
      <w:pPr>
        <w:pStyle w:val="762"/>
        <w:ind w:firstLine="480"/>
        <w:jc w:val="both"/>
        <w:spacing w:before="0" w:beforeAutospacing="0" w:after="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报价要求：只能有一个响应文件及有效报价（采购文件要求提交备选响应的除外）</w:t>
      </w:r>
      <w:r/>
    </w:p>
    <w:p>
      <w:pPr>
        <w:pStyle w:val="762"/>
        <w:ind w:firstLine="480"/>
        <w:jc w:val="both"/>
        <w:spacing w:before="0" w:beforeAutospacing="0" w:after="0" w:afterAutospacing="0" w:line="360" w:lineRule="auto"/>
        <w:widowControl w:val="off"/>
        <w:rPr>
          <w:rFonts w:hint="eastAsia" w:ascii="宋体" w:hAnsi="宋体" w:eastAsia="宋体" w:cs="宋体"/>
          <w:color w:val="ff0000"/>
          <w:highlight w:val="none"/>
          <w:lang w:val="en-US" w:eastAsia="zh-CN"/>
        </w:rPr>
      </w:pPr>
      <w:r>
        <w:rPr>
          <w:rFonts w:hint="eastAsia" w:ascii="宋体" w:hAnsi="宋体" w:eastAsia="宋体" w:cs="宋体"/>
          <w:color w:val="ff0000"/>
          <w:highlight w:val="none"/>
          <w:lang w:val="en-US" w:eastAsia="zh-CN"/>
        </w:rPr>
        <w:t xml:space="preserve">政府采购异常低价审查：</w:t>
      </w:r>
      <w:r/>
    </w:p>
    <w:p>
      <w:pPr>
        <w:pStyle w:val="762"/>
        <w:ind w:firstLine="480"/>
        <w:jc w:val="both"/>
        <w:spacing w:before="0" w:beforeAutospacing="0" w:after="0" w:afterAutospacing="0" w:line="360" w:lineRule="auto"/>
        <w:widowControl w:val="off"/>
        <w:rPr>
          <w:rFonts w:hint="eastAsia" w:ascii="宋体" w:hAnsi="宋体" w:eastAsia="宋体" w:cs="宋体"/>
          <w:color w:val="ff0000"/>
          <w:highlight w:val="none"/>
          <w:lang w:val="en-US" w:eastAsia="zh-CN"/>
        </w:rPr>
      </w:pPr>
      <w:r>
        <w:rPr>
          <w:rFonts w:hint="eastAsia" w:ascii="宋体" w:hAnsi="宋体" w:eastAsia="宋体" w:cs="宋体"/>
          <w:color w:val="ff0000"/>
          <w:highlight w:val="none"/>
          <w:lang w:val="en-US" w:eastAsia="zh-CN"/>
        </w:rPr>
        <w:t xml:space="preserve">（一）评审过程中出现下列情形之一的，评审委员会应当启动异常低价投标（响应）审查程序：</w:t>
      </w:r>
      <w:r/>
    </w:p>
    <w:p>
      <w:pPr>
        <w:pStyle w:val="762"/>
        <w:ind w:firstLine="480"/>
        <w:jc w:val="both"/>
        <w:spacing w:before="0" w:beforeAutospacing="0" w:after="0" w:afterAutospacing="0" w:line="360" w:lineRule="auto"/>
        <w:widowControl w:val="off"/>
        <w:rPr>
          <w:rFonts w:hint="eastAsia" w:ascii="宋体" w:hAnsi="宋体" w:eastAsia="宋体" w:cs="宋体"/>
          <w:color w:val="ff0000"/>
          <w:highlight w:val="none"/>
          <w:lang w:val="en-US" w:eastAsia="zh-CN"/>
        </w:rPr>
      </w:pPr>
      <w:r>
        <w:rPr>
          <w:rFonts w:hint="eastAsia" w:ascii="宋体" w:hAnsi="宋体" w:eastAsia="宋体" w:cs="宋体"/>
          <w:color w:val="ff0000"/>
          <w:highlight w:val="none"/>
          <w:lang w:val="en-US" w:eastAsia="zh-CN"/>
        </w:rPr>
        <w:t xml:space="preserve">1.投标（响应）报价低于采购项目预算50%的，即投标（响应）报价&lt;采购项目预算×50%；</w:t>
      </w:r>
      <w:r/>
    </w:p>
    <w:p>
      <w:pPr>
        <w:pStyle w:val="762"/>
        <w:ind w:firstLine="480"/>
        <w:jc w:val="both"/>
        <w:spacing w:before="0" w:beforeAutospacing="0" w:after="0" w:afterAutospacing="0" w:line="360" w:lineRule="auto"/>
        <w:widowControl w:val="off"/>
        <w:rPr>
          <w:rFonts w:hint="eastAsia" w:ascii="宋体" w:hAnsi="宋体" w:eastAsia="宋体" w:cs="宋体"/>
          <w:color w:val="ff0000"/>
          <w:highlight w:val="none"/>
          <w:lang w:val="en-US" w:eastAsia="zh-CN"/>
        </w:rPr>
      </w:pPr>
      <w:r>
        <w:rPr>
          <w:rFonts w:hint="eastAsia" w:ascii="宋体" w:hAnsi="宋体" w:eastAsia="宋体" w:cs="宋体"/>
          <w:color w:val="ff0000"/>
          <w:highlight w:val="none"/>
          <w:lang w:val="en-US" w:eastAsia="zh-CN"/>
        </w:rPr>
        <w:t xml:space="preserve">2.投标（响应）报价低于采购项目最高限价45%的，即投标（响应）报价&lt;采购项目最高限价×45%；</w:t>
      </w:r>
      <w:r/>
    </w:p>
    <w:p>
      <w:pPr>
        <w:pStyle w:val="762"/>
        <w:ind w:firstLine="480"/>
        <w:jc w:val="both"/>
        <w:spacing w:before="0" w:beforeAutospacing="0" w:after="0" w:afterAutospacing="0" w:line="360" w:lineRule="auto"/>
        <w:widowControl w:val="off"/>
        <w:rPr>
          <w:rFonts w:hint="eastAsia" w:ascii="宋体" w:hAnsi="宋体" w:eastAsia="宋体" w:cs="宋体"/>
          <w:color w:val="ff0000"/>
          <w:highlight w:val="none"/>
          <w:lang w:val="en-US" w:eastAsia="zh-CN"/>
        </w:rPr>
      </w:pPr>
      <w:r>
        <w:rPr>
          <w:rFonts w:hint="eastAsia" w:ascii="宋体" w:hAnsi="宋体" w:eastAsia="宋体" w:cs="宋体"/>
          <w:color w:val="ff0000"/>
          <w:highlight w:val="none"/>
          <w:lang w:val="en-US" w:eastAsia="zh-CN"/>
        </w:rPr>
        <w:t xml:space="preserve">3.评审委员会认定的供应商报价过低、有可能影响产品质量或者不能诚信履约的其他情形。</w:t>
      </w:r>
      <w:r/>
    </w:p>
    <w:p>
      <w:pPr>
        <w:pStyle w:val="762"/>
        <w:ind w:firstLine="480"/>
        <w:jc w:val="both"/>
        <w:spacing w:before="0" w:beforeAutospacing="0" w:after="0" w:afterAutospacing="0" w:line="360" w:lineRule="auto"/>
        <w:widowControl w:val="off"/>
        <w:rPr>
          <w:rFonts w:hint="eastAsia" w:ascii="宋体" w:hAnsi="宋体" w:eastAsia="宋体" w:cs="宋体"/>
          <w:color w:val="ff0000"/>
          <w:highlight w:val="none"/>
          <w:lang w:val="en-US" w:eastAsia="zh-CN"/>
        </w:rPr>
      </w:pPr>
      <w:r>
        <w:rPr>
          <w:rFonts w:hint="eastAsia" w:ascii="宋体" w:hAnsi="宋体" w:eastAsia="宋体" w:cs="宋体"/>
          <w:color w:val="ff0000"/>
          <w:highlight w:val="none"/>
          <w:lang w:val="en-US" w:eastAsia="zh-CN"/>
        </w:rPr>
        <w:t xml:space="preserve">（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pStyle w:val="762"/>
        <w:ind w:firstLine="480"/>
        <w:jc w:val="both"/>
        <w:spacing w:before="0" w:beforeAutospacing="0" w:after="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ff0000"/>
          <w:highlight w:val="none"/>
          <w:lang w:val="en-US" w:eastAsia="zh-CN"/>
        </w:rPr>
        <w:t xml:space="preserve">评委会将通过“苏采云”系统要求其在合理的时间内提供书面说明、证明材料。供应商可在投标（响应）文件中提供项目具体成本测算等与报价合理性相关的书面说明及相关证明材料，对投标（响应）价格作出解释，便于评审。</w:t>
      </w:r>
      <w:r/>
    </w:p>
    <w:p>
      <w:pPr>
        <w:pStyle w:val="762"/>
        <w:ind w:firstLine="480"/>
        <w:jc w:val="both"/>
        <w:spacing w:before="0" w:beforeAutospacing="0" w:after="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商务技术要求：重大偏离或保留是指供应商响应文件与采购文件规定的主要技术指标或重要商务条款或除上述以外的多项指标要求存在负偏离，或者在实质上与采购文件不一致，而且限制了合同中采购人的权利或供应商的义务，保留或给予纠正这些偏离的机会将会对其他实质性响应要求的供应商的竞争地位产生不公正的影响。重大偏离的认定需经过评审委员会2/3及以上成员的认定。</w:t>
      </w:r>
      <w:r/>
    </w:p>
    <w:p>
      <w:pPr>
        <w:pStyle w:val="762"/>
        <w:ind w:firstLine="480"/>
        <w:jc w:val="both"/>
        <w:spacing w:before="0" w:beforeAutospacing="0" w:after="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26.2 在详细评审之前，磋商小组将首先审查每份响应文件是否实质性响应了磋商文件的要求。实质性响应的响应文件应该是与磋商文件要求的条款、条件和规格相符，没有重大偏离或保留。</w:t>
      </w:r>
      <w:r/>
    </w:p>
    <w:p>
      <w:pPr>
        <w:pStyle w:val="762"/>
        <w:ind w:firstLine="480"/>
        <w:jc w:val="both"/>
        <w:spacing w:before="0" w:beforeAutospacing="0" w:after="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所谓重大偏离或保留是指与磋商文件规定的实质性要求存在负偏离，或者在实质上与磋商文件不一致，而且限制了合同中买方和代理机构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pStyle w:val="762"/>
        <w:ind w:firstLine="480"/>
        <w:jc w:val="both"/>
        <w:spacing w:before="0" w:beforeAutospacing="0" w:after="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26.3 未实质性响应磋商文件的情形</w:t>
      </w:r>
      <w:r/>
    </w:p>
    <w:p>
      <w:pPr>
        <w:pStyle w:val="762"/>
        <w:ind w:firstLine="480"/>
        <w:jc w:val="both"/>
        <w:spacing w:before="0" w:beforeAutospacing="0" w:after="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26.3.1供应商在苏采云系统规定的时间内未成功解密电子响应文件的。</w:t>
      </w:r>
      <w:r/>
    </w:p>
    <w:p>
      <w:pPr>
        <w:pStyle w:val="762"/>
        <w:ind w:firstLine="480"/>
        <w:jc w:val="both"/>
        <w:spacing w:before="0" w:beforeAutospacing="0" w:after="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26.3.2供应商未按照磋商文件要求上传电子响应文件的。</w:t>
      </w:r>
      <w:r/>
    </w:p>
    <w:p>
      <w:pPr>
        <w:pStyle w:val="762"/>
        <w:ind w:firstLine="480"/>
        <w:jc w:val="both"/>
        <w:spacing w:before="0" w:beforeAutospacing="0" w:after="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26.3.3同一供应商提交两个（含两个）以上不同的响应文件或者最后报价的。</w:t>
      </w:r>
      <w:r/>
    </w:p>
    <w:p>
      <w:pPr>
        <w:pStyle w:val="762"/>
        <w:ind w:firstLine="480"/>
        <w:jc w:val="both"/>
        <w:spacing w:before="0" w:beforeAutospacing="0" w:after="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26.3.4供应商不具备磋商文件中规定资格要求的。</w:t>
      </w:r>
      <w:r/>
    </w:p>
    <w:p>
      <w:pPr>
        <w:pStyle w:val="762"/>
        <w:ind w:firstLine="480"/>
        <w:jc w:val="both"/>
        <w:spacing w:before="0" w:beforeAutospacing="0" w:after="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26.3.5供应商的最后报价超过了采购预算。</w:t>
      </w:r>
      <w:r/>
    </w:p>
    <w:p>
      <w:pPr>
        <w:pStyle w:val="762"/>
        <w:ind w:firstLine="480"/>
        <w:jc w:val="both"/>
        <w:spacing w:before="0" w:beforeAutospacing="0" w:after="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26.3.6不符合磋商文件中规定的实质性要求和条件的</w:t>
      </w:r>
      <w:r>
        <w:rPr>
          <w:rFonts w:hint="eastAsia" w:ascii="宋体" w:hAnsi="宋体" w:eastAsia="宋体" w:cs="宋体"/>
          <w:i/>
          <w:iCs/>
          <w:color w:val="auto"/>
          <w:highlight w:val="none"/>
          <w:u w:val="single"/>
        </w:rPr>
        <w:t xml:space="preserve">（本磋商文件中斜体且有下划线部分为实质性要求和条件）。</w:t>
      </w:r>
      <w:r/>
    </w:p>
    <w:p>
      <w:pPr>
        <w:pStyle w:val="762"/>
        <w:ind w:firstLine="480"/>
        <w:jc w:val="both"/>
        <w:spacing w:before="0" w:beforeAutospacing="0" w:after="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26.3.7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pStyle w:val="762"/>
        <w:ind w:firstLine="480"/>
        <w:jc w:val="both"/>
        <w:spacing w:before="0" w:beforeAutospacing="0" w:after="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26.3.8响应文件含有采购人不能接受的附加条件的。</w:t>
      </w:r>
      <w:r/>
    </w:p>
    <w:p>
      <w:pPr>
        <w:pStyle w:val="762"/>
        <w:ind w:firstLine="480"/>
        <w:jc w:val="both"/>
        <w:spacing w:before="0" w:beforeAutospacing="0" w:after="0" w:afterAutospacing="0" w:line="360" w:lineRule="auto"/>
        <w:widowControl w:val="off"/>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26.3.9</w:t>
      </w:r>
      <w:r>
        <w:rPr>
          <w:rFonts w:hint="eastAsia" w:ascii="宋体" w:hAnsi="宋体" w:eastAsia="宋体" w:cs="宋体"/>
          <w:b/>
          <w:bCs/>
          <w:i/>
          <w:iCs/>
          <w:color w:val="auto"/>
          <w:highlight w:val="yellow"/>
          <w:u w:val="single"/>
        </w:rPr>
        <w:t xml:space="preserve">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p>
    <w:p>
      <w:pPr>
        <w:pStyle w:val="762"/>
        <w:ind w:firstLine="480"/>
        <w:jc w:val="both"/>
        <w:spacing w:before="0" w:beforeAutospacing="0" w:after="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26.3.10响应文件未按照磋商文件要求加盖CA电子公章的。</w:t>
      </w:r>
      <w:r/>
    </w:p>
    <w:p>
      <w:pPr>
        <w:pStyle w:val="762"/>
        <w:ind w:firstLine="480"/>
        <w:jc w:val="both"/>
        <w:spacing w:before="0" w:beforeAutospacing="0" w:after="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26.4 未实质性响应磋商文件的响应文件按无效响应处理。</w:t>
      </w:r>
      <w:r/>
    </w:p>
    <w:p>
      <w:pPr>
        <w:pStyle w:val="762"/>
        <w:ind w:firstLine="480"/>
        <w:jc w:val="both"/>
        <w:spacing w:before="0" w:beforeAutospacing="0" w:after="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26.5 如果响应文件实质上没有响应磋商文件的要求，磋商小组将予以拒绝，供应商不得通过修改或撤销不合要求的偏离或保留而使其成为实质性响应的文件。</w:t>
      </w:r>
      <w:r/>
    </w:p>
    <w:p>
      <w:pPr>
        <w:pStyle w:val="762"/>
        <w:ind w:firstLine="480"/>
        <w:jc w:val="both"/>
        <w:spacing w:before="0" w:beforeAutospacing="0" w:after="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26.6 供应商在项目评审全过程中应保持通讯畅通，并安排专人与代理机构及磋商小组联系。</w:t>
      </w:r>
      <w:r/>
    </w:p>
    <w:p>
      <w:pPr>
        <w:pStyle w:val="762"/>
        <w:ind w:firstLine="480"/>
        <w:jc w:val="both"/>
        <w:keepLines/>
        <w:keepNext/>
        <w:spacing w:before="0" w:beforeAutospacing="0" w:after="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27、磋商程序及评审方法和评审标准</w:t>
      </w:r>
      <w:r/>
    </w:p>
    <w:p>
      <w:pPr>
        <w:pStyle w:val="762"/>
        <w:ind w:firstLine="480"/>
        <w:jc w:val="both"/>
        <w:spacing w:before="0" w:beforeAutospacing="0" w:after="0" w:afterAutospacing="0" w:line="360" w:lineRule="auto"/>
        <w:widowControl w:val="off"/>
        <w:tabs>
          <w:tab w:val="left" w:pos="901"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27.1 磋商程序</w:t>
      </w:r>
      <w:r/>
    </w:p>
    <w:p>
      <w:pPr>
        <w:pStyle w:val="762"/>
        <w:ind w:firstLine="480"/>
        <w:jc w:val="both"/>
        <w:spacing w:before="0" w:beforeAutospacing="0" w:after="0" w:afterAutospacing="0" w:line="360" w:lineRule="auto"/>
        <w:widowControl w:val="off"/>
        <w:tabs>
          <w:tab w:val="left" w:pos="901"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pStyle w:val="762"/>
        <w:ind w:firstLine="480"/>
        <w:jc w:val="both"/>
        <w:spacing w:before="0" w:beforeAutospacing="0" w:after="0" w:afterAutospacing="0" w:line="360" w:lineRule="auto"/>
        <w:widowControl w:val="off"/>
        <w:tabs>
          <w:tab w:val="left" w:pos="901"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pStyle w:val="762"/>
        <w:ind w:firstLine="480"/>
        <w:jc w:val="both"/>
        <w:spacing w:before="0" w:beforeAutospacing="0" w:after="0" w:afterAutospacing="0" w:line="360" w:lineRule="auto"/>
        <w:widowControl w:val="off"/>
        <w:tabs>
          <w:tab w:val="left" w:pos="901"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27.1.2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pStyle w:val="762"/>
        <w:ind w:firstLine="480"/>
        <w:jc w:val="both"/>
        <w:spacing w:before="0" w:beforeAutospacing="0" w:after="0" w:afterAutospacing="0" w:line="360" w:lineRule="auto"/>
        <w:widowControl w:val="off"/>
        <w:tabs>
          <w:tab w:val="left" w:pos="901"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pStyle w:val="762"/>
        <w:ind w:firstLine="480"/>
        <w:jc w:val="both"/>
        <w:spacing w:before="0" w:beforeAutospacing="0" w:after="0" w:afterAutospacing="0" w:line="360" w:lineRule="auto"/>
        <w:widowControl w:val="off"/>
        <w:tabs>
          <w:tab w:val="left" w:pos="901"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p>
    <w:p>
      <w:pPr>
        <w:pStyle w:val="762"/>
        <w:ind w:firstLine="480"/>
        <w:jc w:val="both"/>
        <w:spacing w:before="0" w:beforeAutospacing="0" w:after="0" w:afterAutospacing="0" w:line="360" w:lineRule="auto"/>
        <w:widowControl w:val="off"/>
        <w:tabs>
          <w:tab w:val="left" w:pos="901"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27.1.3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ind w:firstLine="482"/>
        <w:jc w:val="left"/>
        <w:spacing w:line="360" w:lineRule="auto"/>
        <w:tabs>
          <w:tab w:val="left" w:pos="900" w:leader="none"/>
        </w:tabs>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本项目各分项最终结算价按照磋商首次报价与最后报价同比例变动。</w:t>
      </w:r>
      <w:r/>
    </w:p>
    <w:p>
      <w:pPr>
        <w:pStyle w:val="762"/>
        <w:ind w:firstLine="480"/>
        <w:jc w:val="both"/>
        <w:spacing w:before="0" w:beforeAutospacing="0" w:after="0" w:afterAutospacing="0" w:line="360" w:lineRule="auto"/>
        <w:widowControl w:val="off"/>
        <w:tabs>
          <w:tab w:val="left" w:pos="901"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27.2 评审方法和评审标准</w:t>
      </w:r>
      <w:r/>
    </w:p>
    <w:p>
      <w:pPr>
        <w:pStyle w:val="762"/>
        <w:ind w:firstLine="480"/>
        <w:jc w:val="both"/>
        <w:spacing w:before="0" w:beforeAutospacing="0" w:after="0" w:afterAutospacing="0" w:line="360" w:lineRule="auto"/>
        <w:widowControl w:val="off"/>
        <w:tabs>
          <w:tab w:val="left" w:pos="901"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27.2.1评审方法。经磋商确定最终采购需求和提交最后报价的供应商后，由磋商小组采用综合评分法对提交最后报价的供应商的响应文件和最后报价进行综合评分。</w:t>
      </w:r>
      <w:r/>
    </w:p>
    <w:p>
      <w:pPr>
        <w:pStyle w:val="762"/>
        <w:ind w:firstLine="480"/>
        <w:jc w:val="both"/>
        <w:spacing w:before="0" w:beforeAutospacing="0" w:after="0" w:afterAutospacing="0" w:line="360" w:lineRule="auto"/>
        <w:widowControl w:val="off"/>
        <w:tabs>
          <w:tab w:val="left" w:pos="901"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pStyle w:val="762"/>
        <w:ind w:firstLine="480"/>
        <w:jc w:val="both"/>
        <w:spacing w:before="0" w:beforeAutospacing="0" w:after="0" w:afterAutospacing="0" w:line="360" w:lineRule="auto"/>
        <w:widowControl w:val="off"/>
        <w:tabs>
          <w:tab w:val="left" w:pos="901"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27.2.2评审标准</w:t>
      </w:r>
      <w:r/>
    </w:p>
    <w:p>
      <w:pPr>
        <w:pStyle w:val="762"/>
        <w:ind w:firstLine="480"/>
        <w:jc w:val="both"/>
        <w:spacing w:before="0" w:beforeAutospacing="0" w:after="0" w:afterAutospacing="0" w:line="360" w:lineRule="auto"/>
        <w:widowControl w:val="off"/>
        <w:tabs>
          <w:tab w:val="left" w:pos="901"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见本磋商文件第五章“评审方法与评审标准”规定。</w:t>
      </w:r>
      <w:r/>
    </w:p>
    <w:p>
      <w:pPr>
        <w:pStyle w:val="762"/>
        <w:ind w:firstLine="480"/>
        <w:jc w:val="both"/>
        <w:spacing w:before="0" w:beforeAutospacing="0" w:after="0" w:afterAutospacing="0" w:line="360" w:lineRule="auto"/>
        <w:widowControl w:val="off"/>
        <w:tabs>
          <w:tab w:val="left" w:pos="901"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27.3 采购活动终止的情况</w:t>
      </w:r>
      <w:r/>
    </w:p>
    <w:p>
      <w:pPr>
        <w:pStyle w:val="762"/>
        <w:ind w:firstLine="480"/>
        <w:jc w:val="both"/>
        <w:spacing w:before="0" w:beforeAutospacing="0" w:after="0" w:afterAutospacing="0" w:line="360" w:lineRule="auto"/>
        <w:widowControl w:val="off"/>
        <w:tabs>
          <w:tab w:val="left" w:pos="901"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出现下列情形之一的，本次竞争性磋商采购活动将被终止：</w:t>
      </w:r>
      <w:r/>
    </w:p>
    <w:p>
      <w:pPr>
        <w:pStyle w:val="762"/>
        <w:ind w:firstLine="480"/>
        <w:jc w:val="both"/>
        <w:spacing w:before="0" w:beforeAutospacing="0" w:after="0" w:afterAutospacing="0" w:line="360" w:lineRule="auto"/>
        <w:widowControl w:val="off"/>
        <w:tabs>
          <w:tab w:val="left" w:pos="901"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27.3.1因情况变化，不再符合规定的竞争性磋商采购方式适用情形的。</w:t>
      </w:r>
      <w:r/>
    </w:p>
    <w:p>
      <w:pPr>
        <w:pStyle w:val="762"/>
        <w:ind w:firstLine="480"/>
        <w:jc w:val="both"/>
        <w:spacing w:before="0" w:beforeAutospacing="0" w:after="0" w:afterAutospacing="0" w:line="360" w:lineRule="auto"/>
        <w:widowControl w:val="off"/>
        <w:tabs>
          <w:tab w:val="left" w:pos="901"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27.3.2出现影响采购公正的违法、违规行为的。</w:t>
      </w:r>
      <w:r/>
    </w:p>
    <w:p>
      <w:pPr>
        <w:pStyle w:val="762"/>
        <w:ind w:firstLine="480"/>
        <w:jc w:val="both"/>
        <w:spacing w:before="0" w:beforeAutospacing="0" w:after="0" w:afterAutospacing="0" w:line="360" w:lineRule="auto"/>
        <w:widowControl w:val="off"/>
        <w:tabs>
          <w:tab w:val="left" w:pos="901"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27.3.3除本磋商文件第二章第27.1.2条第三款规定的情形外，在采购过程中符合要求的供应商或者最后报价未超过采购预算的供应商不足3家的。</w:t>
      </w:r>
      <w:r/>
    </w:p>
    <w:p>
      <w:pPr>
        <w:pStyle w:val="762"/>
        <w:ind w:firstLine="480"/>
        <w:jc w:val="both"/>
        <w:spacing w:before="0" w:beforeAutospacing="0" w:after="0" w:afterAutospacing="0" w:line="360" w:lineRule="auto"/>
        <w:widowControl w:val="off"/>
        <w:tabs>
          <w:tab w:val="left" w:pos="901"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27.3.4在苏采云系统规定时间内成功解密电子响应文件的供应商不足3家的。</w:t>
      </w:r>
      <w:r/>
    </w:p>
    <w:p>
      <w:pPr>
        <w:pStyle w:val="762"/>
        <w:ind w:firstLine="482"/>
        <w:jc w:val="both"/>
        <w:keepLines/>
        <w:keepNext/>
        <w:spacing w:before="0" w:beforeAutospacing="0" w:after="0" w:afterAutospacing="0" w:line="360" w:lineRule="auto"/>
        <w:widowControl w:val="off"/>
        <w:rPr>
          <w:rFonts w:hint="eastAsia" w:ascii="宋体" w:hAnsi="宋体" w:eastAsia="宋体" w:cs="宋体"/>
          <w:color w:val="auto"/>
          <w:highlight w:val="none"/>
        </w:rPr>
      </w:pPr>
      <w:r/>
      <w:bookmarkStart w:id="156" w:name="_Toc120614219"/>
      <w:r>
        <w:rPr>
          <w:rFonts w:hint="eastAsia" w:ascii="宋体" w:hAnsi="宋体" w:eastAsia="宋体" w:cs="宋体"/>
          <w:b/>
          <w:bCs/>
          <w:color w:val="auto"/>
          <w:highlight w:val="none"/>
        </w:rPr>
        <w:t xml:space="preserve">六、</w:t>
      </w:r>
      <w:bookmarkEnd w:id="156"/>
      <w:r>
        <w:rPr>
          <w:rFonts w:hint="eastAsia" w:ascii="宋体" w:hAnsi="宋体" w:eastAsia="宋体" w:cs="宋体"/>
          <w:b/>
          <w:bCs/>
          <w:color w:val="auto"/>
          <w:highlight w:val="none"/>
        </w:rPr>
        <w:t xml:space="preserve">成交</w:t>
      </w:r>
      <w:r/>
    </w:p>
    <w:p>
      <w:pPr>
        <w:pStyle w:val="762"/>
        <w:ind w:firstLine="480"/>
        <w:jc w:val="both"/>
        <w:keepLines/>
        <w:keepNext/>
        <w:spacing w:before="0" w:beforeAutospacing="0" w:after="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28、确定成交单位</w:t>
      </w:r>
      <w:r/>
    </w:p>
    <w:p>
      <w:pPr>
        <w:pStyle w:val="762"/>
        <w:ind w:firstLine="480"/>
        <w:jc w:val="both"/>
        <w:spacing w:before="0" w:beforeAutospacing="0" w:after="0" w:afterAutospacing="0" w:line="360" w:lineRule="auto"/>
        <w:widowControl w:val="off"/>
        <w:tabs>
          <w:tab w:val="left" w:pos="901"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28.1 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p>
    <w:p>
      <w:pPr>
        <w:pStyle w:val="762"/>
        <w:ind w:firstLine="480"/>
        <w:jc w:val="both"/>
        <w:spacing w:before="0" w:beforeAutospacing="0" w:after="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p>
    <w:p>
      <w:pPr>
        <w:pStyle w:val="762"/>
        <w:ind w:firstLine="480"/>
        <w:jc w:val="both"/>
        <w:spacing w:before="0" w:beforeAutospacing="0" w:after="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28.2 采购人从评审报告提出的成交候选供应商中，按照排序由高到低的原则确定成交供应商。采购人确定成交供应商后，代理机构将在“江苏政府采购网”发布成交结果公告，公告期限为1个工作日。</w:t>
      </w:r>
      <w:r/>
    </w:p>
    <w:p>
      <w:pPr>
        <w:pStyle w:val="762"/>
        <w:ind w:firstLine="480"/>
        <w:jc w:val="both"/>
        <w:spacing w:before="0" w:beforeAutospacing="0" w:after="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28.3 若有充分证据证明，成交供应商出现下列情况之一的，一经查实，将被取消成交资格：</w:t>
      </w:r>
      <w:r/>
    </w:p>
    <w:p>
      <w:pPr>
        <w:pStyle w:val="762"/>
        <w:ind w:firstLine="480"/>
        <w:jc w:val="both"/>
        <w:spacing w:before="0" w:beforeAutospacing="0" w:after="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28.3.1提供虚假材料谋取成交的。</w:t>
      </w:r>
      <w:r/>
    </w:p>
    <w:p>
      <w:pPr>
        <w:pStyle w:val="762"/>
        <w:ind w:firstLine="480"/>
        <w:jc w:val="both"/>
        <w:spacing w:before="0" w:beforeAutospacing="0" w:after="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28.3.2与评审专家、采购人、其他供应商或者代理机构工作人员恶意串通的。</w:t>
      </w:r>
      <w:r/>
    </w:p>
    <w:p>
      <w:pPr>
        <w:pStyle w:val="762"/>
        <w:ind w:firstLine="480"/>
        <w:jc w:val="both"/>
        <w:spacing w:before="0" w:beforeAutospacing="0" w:after="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28.3.3向评审专家、采购人或代理机构工作人员行贿或者提供其他不正当利益的。</w:t>
      </w:r>
      <w:r/>
    </w:p>
    <w:p>
      <w:pPr>
        <w:pStyle w:val="762"/>
        <w:ind w:firstLine="480"/>
        <w:jc w:val="both"/>
        <w:spacing w:before="0" w:beforeAutospacing="0" w:after="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28.3.4恶意竞争，最后报价明显低于其自身合理成本且又无法提供证明的。</w:t>
      </w:r>
      <w:r/>
    </w:p>
    <w:p>
      <w:pPr>
        <w:pStyle w:val="762"/>
        <w:ind w:firstLine="480"/>
        <w:jc w:val="both"/>
        <w:spacing w:before="0" w:beforeAutospacing="0" w:after="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28.3.5不满足本磋商文件规定的实质性要求，但在评审过程中又未被磋商小组发现的。</w:t>
      </w:r>
      <w:r/>
    </w:p>
    <w:p>
      <w:pPr>
        <w:pStyle w:val="762"/>
        <w:ind w:firstLine="480"/>
        <w:jc w:val="both"/>
        <w:spacing w:before="0" w:beforeAutospacing="0" w:after="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28.3.6成交后无正当理由拒不与采购人签订政府采购合同或者未按照磋商文件确定的事项签订政府采购合同的。</w:t>
      </w:r>
      <w:r/>
    </w:p>
    <w:p>
      <w:pPr>
        <w:pStyle w:val="762"/>
        <w:ind w:firstLine="480"/>
        <w:jc w:val="both"/>
        <w:spacing w:before="0" w:beforeAutospacing="0" w:after="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28.3.7将政府采购合同转包的。</w:t>
      </w:r>
      <w:r/>
    </w:p>
    <w:p>
      <w:pPr>
        <w:pStyle w:val="762"/>
        <w:ind w:firstLine="480"/>
        <w:jc w:val="both"/>
        <w:keepLines/>
        <w:keepNext/>
        <w:spacing w:before="0" w:beforeAutospacing="0" w:after="0" w:afterAutospacing="0" w:line="360" w:lineRule="auto"/>
        <w:widowControl w:val="off"/>
        <w:rPr>
          <w:rFonts w:hint="eastAsia" w:ascii="宋体" w:hAnsi="宋体" w:eastAsia="宋体" w:cs="宋体"/>
          <w:color w:val="auto"/>
          <w:highlight w:val="none"/>
        </w:rPr>
      </w:pPr>
      <w:r/>
      <w:bookmarkStart w:id="157" w:name="_Toc200451960"/>
      <w:r>
        <w:rPr>
          <w:rFonts w:hint="eastAsia" w:ascii="宋体" w:hAnsi="宋体" w:eastAsia="宋体" w:cs="宋体"/>
          <w:color w:val="auto"/>
          <w:highlight w:val="none"/>
        </w:rPr>
        <w:t xml:space="preserve">29、质疑处理</w:t>
      </w:r>
      <w:bookmarkEnd w:id="157"/>
      <w:r/>
      <w:r/>
    </w:p>
    <w:p>
      <w:pPr>
        <w:pStyle w:val="762"/>
        <w:ind w:firstLine="480"/>
        <w:jc w:val="both"/>
        <w:spacing w:before="0" w:beforeAutospacing="0" w:after="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29.1 提出质疑的供应商应当是参与所质疑项目采购活动的供应商。潜在供应商依法获取其可质疑的采购文件的，可以对采购文件提出质疑。</w:t>
      </w:r>
      <w:r/>
    </w:p>
    <w:p>
      <w:pPr>
        <w:pStyle w:val="762"/>
        <w:ind w:firstLine="480"/>
        <w:jc w:val="both"/>
        <w:spacing w:before="0" w:beforeAutospacing="0" w:after="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29.2 供应商认为采购文件、采购过程和采购结果使自己的权益受到损害的，可以在知道或应知其权益受到损害之日起七个工作日内，以书面形式根据下述29.4条款的规定向代理机构或采购人提出质疑。上述应知其权益受到损害之日，是指：</w:t>
      </w:r>
      <w:r/>
    </w:p>
    <w:p>
      <w:pPr>
        <w:pStyle w:val="762"/>
        <w:ind w:firstLine="482"/>
        <w:spacing w:before="0" w:beforeAutospacing="0" w:after="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29.2.1对可以质疑的采购文件提出质疑的，为收到采购文件之日或者采购文件公告期限届满之日。</w:t>
      </w:r>
      <w:r>
        <w:rPr>
          <w:rFonts w:hint="eastAsia" w:ascii="宋体" w:hAnsi="宋体" w:eastAsia="宋体" w:cs="宋体"/>
          <w:color w:val="auto"/>
          <w:highlight w:val="none"/>
        </w:rPr>
        <w:br/>
      </w:r>
      <w:r>
        <w:rPr>
          <w:rFonts w:hint="eastAsia" w:ascii="宋体" w:hAnsi="宋体" w:eastAsia="宋体" w:cs="宋体"/>
          <w:color w:val="auto"/>
          <w:highlight w:val="none"/>
        </w:rPr>
        <w:t xml:space="preserve">    29.2.2对采购过程提出质疑的，为各采购程序环节结束之日。</w:t>
      </w:r>
      <w:r>
        <w:rPr>
          <w:rFonts w:hint="eastAsia" w:ascii="宋体" w:hAnsi="宋体" w:eastAsia="宋体" w:cs="宋体"/>
          <w:color w:val="auto"/>
          <w:highlight w:val="none"/>
        </w:rPr>
        <w:br/>
      </w:r>
      <w:r>
        <w:rPr>
          <w:rFonts w:hint="eastAsia" w:ascii="宋体" w:hAnsi="宋体" w:eastAsia="宋体" w:cs="宋体"/>
          <w:color w:val="auto"/>
          <w:highlight w:val="none"/>
        </w:rPr>
        <w:t xml:space="preserve">    29.2.3对成交结果提出质疑的，为成交结果公告期限届满之日。</w:t>
      </w:r>
      <w:r/>
    </w:p>
    <w:p>
      <w:pPr>
        <w:pStyle w:val="762"/>
        <w:ind w:firstLine="480"/>
        <w:jc w:val="both"/>
        <w:spacing w:before="0" w:beforeAutospacing="0" w:after="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供应商应当在法定质疑期内一次性提出针对同一采购程序环节的质疑。供应商如在法定期限内对同一采购程序环节提出多次质疑的，代理机构、采购人将只对供应商第一次质疑作出答复。</w:t>
      </w:r>
      <w:r/>
    </w:p>
    <w:p>
      <w:pPr>
        <w:pStyle w:val="762"/>
        <w:ind w:firstLine="480"/>
        <w:jc w:val="both"/>
        <w:spacing w:before="0" w:beforeAutospacing="0" w:after="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29.3 质疑函应当使用范本（详见江苏政府采购网）。</w:t>
      </w:r>
      <w:r/>
    </w:p>
    <w:p>
      <w:pPr>
        <w:pStyle w:val="762"/>
        <w:ind w:firstLine="480"/>
        <w:jc w:val="both"/>
        <w:spacing w:before="0" w:beforeAutospacing="0" w:after="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供应商提出质疑应当提交质疑函和必要的证明材料。应当包括下列内容：</w:t>
      </w:r>
      <w:r/>
    </w:p>
    <w:p>
      <w:pPr>
        <w:pStyle w:val="762"/>
        <w:ind w:firstLine="480"/>
        <w:jc w:val="both"/>
        <w:spacing w:before="0" w:beforeAutospacing="0" w:after="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（1）供应商的姓名或者名称、地址、邮编、联系人及联系电话；</w:t>
      </w:r>
      <w:r/>
    </w:p>
    <w:p>
      <w:pPr>
        <w:pStyle w:val="762"/>
        <w:ind w:firstLine="480"/>
        <w:jc w:val="both"/>
        <w:spacing w:before="0" w:beforeAutospacing="0" w:after="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（2）质疑项目的名称、编号；</w:t>
      </w:r>
      <w:r/>
    </w:p>
    <w:p>
      <w:pPr>
        <w:pStyle w:val="762"/>
        <w:ind w:firstLine="480"/>
        <w:jc w:val="both"/>
        <w:spacing w:before="0" w:beforeAutospacing="0" w:after="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（3）具体、明确的质疑事项和与质疑事项相关的请求；</w:t>
      </w:r>
      <w:r/>
    </w:p>
    <w:p>
      <w:pPr>
        <w:pStyle w:val="762"/>
        <w:ind w:firstLine="480"/>
        <w:jc w:val="both"/>
        <w:spacing w:before="0" w:beforeAutospacing="0" w:after="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（4）事实依据；</w:t>
      </w:r>
      <w:r/>
    </w:p>
    <w:p>
      <w:pPr>
        <w:pStyle w:val="762"/>
        <w:ind w:firstLine="480"/>
        <w:jc w:val="both"/>
        <w:spacing w:before="0" w:beforeAutospacing="0" w:after="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（5）必要的法律依据；</w:t>
      </w:r>
      <w:r/>
    </w:p>
    <w:p>
      <w:pPr>
        <w:pStyle w:val="762"/>
        <w:ind w:firstLine="480"/>
        <w:jc w:val="both"/>
        <w:spacing w:before="0" w:beforeAutospacing="0" w:after="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（6）提出质疑的日期；</w:t>
      </w:r>
      <w:r/>
    </w:p>
    <w:p>
      <w:pPr>
        <w:pStyle w:val="762"/>
        <w:ind w:firstLine="480"/>
        <w:jc w:val="both"/>
        <w:spacing w:before="0" w:beforeAutospacing="0" w:after="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（7）必要的证明材料；</w:t>
      </w:r>
      <w:r/>
    </w:p>
    <w:p>
      <w:pPr>
        <w:pStyle w:val="762"/>
        <w:ind w:firstLine="480"/>
        <w:jc w:val="both"/>
        <w:spacing w:before="0" w:beforeAutospacing="0" w:after="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（8）采购文件(交易文件)下载回执函；</w:t>
      </w:r>
      <w:r/>
    </w:p>
    <w:p>
      <w:pPr>
        <w:pStyle w:val="762"/>
        <w:ind w:firstLine="480"/>
        <w:jc w:val="both"/>
        <w:spacing w:before="0" w:beforeAutospacing="0" w:after="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（9）营业执照复印件及授权委托书原件、法定代表人（单位负责人）身份证复印件、委托代理人身份证复印件。</w:t>
      </w:r>
      <w:r/>
    </w:p>
    <w:p>
      <w:pPr>
        <w:pStyle w:val="762"/>
        <w:ind w:firstLine="480"/>
        <w:jc w:val="both"/>
        <w:spacing w:before="0" w:beforeAutospacing="0" w:after="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供应商为自然人的，应当由本人签字；供应商为法人或者其他组织的，应当由法定代表人、主要负责人，或者其委托代理人签字或者盖章，并加盖单位公章。</w:t>
      </w:r>
      <w:r/>
    </w:p>
    <w:p>
      <w:pPr>
        <w:pStyle w:val="762"/>
        <w:ind w:firstLine="480"/>
        <w:jc w:val="both"/>
        <w:spacing w:before="0" w:beforeAutospacing="0" w:after="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29.4 供应商（含潜在供应商）对采购方式、采购需求、供应商资格条件、评审方法与评审标准、合同文本的询问、质疑请向采购人提出，由采购人负责答复。供应商对其他事项的询问、质疑请向代理机构提出，由代理机构负责答复。</w:t>
      </w:r>
      <w:r/>
    </w:p>
    <w:p>
      <w:pPr>
        <w:pStyle w:val="762"/>
        <w:ind w:firstLine="480"/>
        <w:jc w:val="both"/>
        <w:spacing w:before="0" w:beforeAutospacing="0" w:after="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供应商（含潜在供应商）对与本项目有关的所有询问、质疑均请向采购人提出，由采购人负责答复。</w:t>
      </w:r>
      <w:r/>
    </w:p>
    <w:p>
      <w:pPr>
        <w:pStyle w:val="762"/>
        <w:ind w:firstLine="480"/>
        <w:jc w:val="both"/>
        <w:spacing w:before="0" w:beforeAutospacing="0" w:after="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采购人及代理机构只接收以纸质原件形式送达的质疑。</w:t>
      </w:r>
      <w:r/>
    </w:p>
    <w:p>
      <w:pPr>
        <w:pStyle w:val="762"/>
        <w:ind w:firstLine="480"/>
        <w:jc w:val="both"/>
        <w:spacing w:before="0" w:beforeAutospacing="0" w:after="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采购人质疑接收人及联系方式见本磋商文件第一章。</w:t>
      </w:r>
      <w:r/>
    </w:p>
    <w:p>
      <w:pPr>
        <w:pStyle w:val="762"/>
        <w:ind w:firstLine="480"/>
        <w:jc w:val="both"/>
        <w:spacing w:before="0" w:beforeAutospacing="0" w:after="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29.5 以下情形的质疑不予受理</w:t>
      </w:r>
      <w:r/>
    </w:p>
    <w:p>
      <w:pPr>
        <w:pStyle w:val="762"/>
        <w:ind w:firstLine="480"/>
        <w:jc w:val="both"/>
        <w:spacing w:before="0" w:beforeAutospacing="0" w:after="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29.5.1内容不符合《政府采购质疑和投诉办法》第十二条规定的质疑。</w:t>
      </w:r>
      <w:r/>
    </w:p>
    <w:p>
      <w:pPr>
        <w:pStyle w:val="762"/>
        <w:ind w:firstLine="480"/>
        <w:jc w:val="both"/>
        <w:spacing w:before="0" w:beforeAutospacing="0" w:after="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29.5.2超出政府采购法定期限的质疑。</w:t>
      </w:r>
      <w:r/>
    </w:p>
    <w:p>
      <w:pPr>
        <w:pStyle w:val="762"/>
        <w:ind w:firstLine="480"/>
        <w:jc w:val="both"/>
        <w:spacing w:before="0" w:beforeAutospacing="0" w:after="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29.5.3以传真、电子邮件等方式递交的非原件形式的质疑。</w:t>
      </w:r>
      <w:r/>
    </w:p>
    <w:p>
      <w:pPr>
        <w:pStyle w:val="762"/>
        <w:ind w:firstLine="480"/>
        <w:jc w:val="both"/>
        <w:spacing w:before="0" w:beforeAutospacing="0" w:after="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29.5.4未参加磋商活动的供应商或在磋商活动中自身权益未受到损害的供应商所提出的质疑。</w:t>
      </w:r>
      <w:r/>
    </w:p>
    <w:p>
      <w:pPr>
        <w:pStyle w:val="762"/>
        <w:ind w:firstLine="480"/>
        <w:jc w:val="both"/>
        <w:spacing w:before="0" w:beforeAutospacing="0" w:after="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29.5.5供应商组成联合体参加磋商，联合体中任何一方或多方未按要求签字、盖章、加盖公章的质疑。</w:t>
      </w:r>
      <w:r/>
    </w:p>
    <w:p>
      <w:pPr>
        <w:pStyle w:val="762"/>
        <w:ind w:firstLine="480"/>
        <w:jc w:val="both"/>
        <w:spacing w:before="0" w:beforeAutospacing="0" w:after="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29.6 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p>
    <w:p>
      <w:pPr>
        <w:pStyle w:val="762"/>
        <w:ind w:firstLine="480"/>
        <w:jc w:val="both"/>
        <w:keepLines/>
        <w:keepNext/>
        <w:spacing w:before="0" w:beforeAutospacing="0" w:after="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30、成交通知书</w:t>
      </w:r>
      <w:r/>
    </w:p>
    <w:p>
      <w:pPr>
        <w:pStyle w:val="762"/>
        <w:ind w:firstLine="480"/>
        <w:jc w:val="both"/>
        <w:spacing w:before="0" w:beforeAutospacing="0" w:after="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30.1 成交结果确定后，代理机构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pStyle w:val="762"/>
        <w:ind w:firstLine="480"/>
        <w:jc w:val="both"/>
        <w:spacing w:before="0" w:beforeAutospacing="0" w:after="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30.2 成交通知书将是合同的一个组成部分。对采购人和成交供应商均具有法律效力。成交通知书发出后，采购人改变成交结果的，或者成交供应商放弃成交项目的，应当依法承担法律责任。</w:t>
      </w:r>
      <w:r/>
    </w:p>
    <w:p>
      <w:pPr>
        <w:pStyle w:val="762"/>
        <w:ind w:firstLine="482"/>
        <w:jc w:val="both"/>
        <w:keepLines/>
        <w:keepNext/>
        <w:spacing w:before="0" w:beforeAutospacing="0" w:after="0" w:afterAutospacing="0" w:line="360" w:lineRule="auto"/>
        <w:widowControl w:val="off"/>
        <w:rPr>
          <w:rFonts w:hint="eastAsia" w:ascii="宋体" w:hAnsi="宋体" w:eastAsia="宋体" w:cs="宋体"/>
          <w:color w:val="auto"/>
          <w:highlight w:val="none"/>
        </w:rPr>
      </w:pPr>
      <w:r/>
      <w:bookmarkStart w:id="158" w:name="_Toc513029236"/>
      <w:r/>
      <w:bookmarkStart w:id="159" w:name="_Toc20823308"/>
      <w:r/>
      <w:bookmarkStart w:id="160" w:name="_Toc120614220"/>
      <w:r/>
      <w:bookmarkStart w:id="161" w:name="_Toc16938552"/>
      <w:r>
        <w:rPr>
          <w:rFonts w:hint="eastAsia" w:ascii="宋体" w:hAnsi="宋体" w:eastAsia="宋体" w:cs="宋体"/>
          <w:b/>
          <w:bCs/>
          <w:color w:val="auto"/>
          <w:highlight w:val="none"/>
        </w:rPr>
        <w:t xml:space="preserve">七、授予合同</w:t>
      </w:r>
      <w:bookmarkEnd w:id="158"/>
      <w:r/>
      <w:bookmarkEnd w:id="159"/>
      <w:r/>
      <w:bookmarkEnd w:id="160"/>
      <w:r/>
      <w:bookmarkEnd w:id="161"/>
      <w:r/>
      <w:r/>
    </w:p>
    <w:p>
      <w:pPr>
        <w:pStyle w:val="762"/>
        <w:ind w:firstLine="480"/>
        <w:jc w:val="both"/>
        <w:keepLines/>
        <w:keepNext/>
        <w:spacing w:before="0" w:beforeAutospacing="0" w:after="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31、签订合同</w:t>
      </w:r>
      <w:r/>
    </w:p>
    <w:p>
      <w:pPr>
        <w:pStyle w:val="762"/>
        <w:ind w:firstLine="480"/>
        <w:jc w:val="both"/>
        <w:spacing w:before="0" w:beforeAutospacing="0" w:after="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31.l 成交供应商应当在成交通知书发出之日起三十日内，按照磋商文件确定的事项与采购人签订政府采购合同。</w:t>
      </w:r>
      <w:r/>
    </w:p>
    <w:p>
      <w:pPr>
        <w:pStyle w:val="762"/>
        <w:ind w:firstLine="480"/>
        <w:jc w:val="both"/>
        <w:spacing w:before="0" w:beforeAutospacing="0" w:after="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31.2自政府采购合同签订之日起2个工作日内，将政府采购合同在指定的媒体上公告。</w:t>
      </w:r>
      <w:r/>
    </w:p>
    <w:p>
      <w:pPr>
        <w:pStyle w:val="762"/>
        <w:ind w:firstLine="480"/>
        <w:jc w:val="both"/>
        <w:spacing w:before="0" w:beforeAutospacing="0" w:after="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31.3 磋商文件、成交供应商的响应文件及磋商过程中有关澄清、承诺文件均应作为合同附件。</w:t>
      </w:r>
      <w:r/>
    </w:p>
    <w:p>
      <w:pPr>
        <w:pStyle w:val="762"/>
        <w:ind w:firstLine="480"/>
        <w:jc w:val="both"/>
        <w:spacing w:before="0" w:beforeAutospacing="0" w:after="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31.4 签订合同后，</w:t>
      </w:r>
      <w:r>
        <w:rPr>
          <w:rFonts w:hint="eastAsia" w:ascii="宋体" w:hAnsi="宋体" w:eastAsia="宋体" w:cs="宋体"/>
          <w:i/>
          <w:iCs/>
          <w:color w:val="auto"/>
          <w:highlight w:val="none"/>
          <w:u w:val="single"/>
        </w:rPr>
        <w:t xml:space="preserve">成交供应商不得将合同标的进行转包</w:t>
      </w:r>
      <w:r>
        <w:rPr>
          <w:rFonts w:hint="eastAsia" w:ascii="宋体" w:hAnsi="宋体" w:eastAsia="宋体" w:cs="宋体"/>
          <w:color w:val="auto"/>
          <w:highlight w:val="none"/>
        </w:rPr>
        <w:t xml:space="preserve">。未经采购人同意，成交供应商也不得采用分包形式履行合同，否则采购人有权终止合同。转包或分包造成采购人损失的，成交供应商应承担相应赔偿责任。</w:t>
      </w:r>
      <w:r/>
    </w:p>
    <w:p>
      <w:pPr>
        <w:pStyle w:val="762"/>
        <w:ind w:firstLine="480"/>
        <w:jc w:val="both"/>
        <w:keepLines/>
        <w:keepNext/>
        <w:spacing w:before="0" w:beforeAutospacing="0" w:after="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32、标的物的追加</w:t>
      </w:r>
      <w:r/>
    </w:p>
    <w:p>
      <w:pPr>
        <w:pStyle w:val="762"/>
        <w:ind w:firstLine="480"/>
        <w:jc w:val="both"/>
        <w:spacing w:before="0" w:beforeAutospacing="0" w:after="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32.1 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p>
    <w:p>
      <w:pPr>
        <w:pStyle w:val="762"/>
        <w:ind w:firstLine="480"/>
        <w:jc w:val="both"/>
        <w:keepLines/>
        <w:keepNext/>
        <w:spacing w:before="0" w:beforeAutospacing="0" w:after="0" w:afterAutospacing="0" w:line="360" w:lineRule="auto"/>
        <w:widowControl w:val="off"/>
        <w:rPr>
          <w:rFonts w:hint="eastAsia" w:ascii="宋体" w:hAnsi="宋体" w:eastAsia="宋体" w:cs="宋体"/>
          <w:color w:val="auto"/>
          <w:highlight w:val="none"/>
        </w:rPr>
      </w:pPr>
      <w:r/>
      <w:bookmarkStart w:id="162" w:name="_Toc120614221"/>
      <w:r/>
      <w:bookmarkStart w:id="163" w:name="_Toc20823314"/>
      <w:r/>
      <w:bookmarkStart w:id="164" w:name="_Toc479757207"/>
      <w:r/>
      <w:bookmarkStart w:id="165" w:name="_Toc513029242"/>
      <w:r/>
      <w:bookmarkStart w:id="166" w:name="_Toc16938558"/>
      <w:r>
        <w:rPr>
          <w:rFonts w:hint="eastAsia" w:ascii="宋体" w:hAnsi="宋体" w:eastAsia="宋体" w:cs="宋体"/>
          <w:color w:val="auto"/>
          <w:highlight w:val="none"/>
        </w:rPr>
        <w:t xml:space="preserve">33、政府采购履约资金扶持政策</w:t>
      </w:r>
      <w:bookmarkEnd w:id="162"/>
      <w:r/>
      <w:bookmarkEnd w:id="163"/>
      <w:r/>
      <w:bookmarkEnd w:id="164"/>
      <w:r/>
      <w:bookmarkEnd w:id="165"/>
      <w:r/>
      <w:bookmarkEnd w:id="166"/>
      <w:r/>
      <w:r/>
    </w:p>
    <w:p>
      <w:pPr>
        <w:pStyle w:val="762"/>
        <w:ind w:firstLine="480"/>
        <w:jc w:val="both"/>
        <w:spacing w:before="0" w:beforeAutospacing="0" w:after="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成交供应商可凭政府采购合同办理融资贷款，详情请见江苏政府采购网“政采贷”专栏。</w:t>
      </w:r>
      <w:bookmarkEnd w:id="137"/>
      <w:r/>
      <w:bookmarkEnd w:id="138"/>
      <w:r/>
      <w:bookmarkEnd w:id="139"/>
      <w:r/>
      <w:r/>
    </w:p>
    <w:p>
      <w:pPr>
        <w:pStyle w:val="762"/>
        <w:ind w:firstLine="482"/>
        <w:jc w:val="both"/>
        <w:keepLines/>
        <w:keepNext/>
        <w:spacing w:before="0" w:beforeAutospacing="0" w:after="0" w:afterAutospacing="0" w:line="360" w:lineRule="auto"/>
        <w:widowControl w:val="off"/>
        <w:rPr>
          <w:rFonts w:hint="eastAsia" w:ascii="宋体" w:hAnsi="宋体" w:eastAsia="宋体" w:cs="宋体"/>
          <w:b/>
          <w:bCs/>
          <w:color w:val="auto"/>
          <w:highlight w:val="none"/>
        </w:rPr>
      </w:pPr>
      <w:r/>
      <w:bookmarkStart w:id="167" w:name="_Toc20823309"/>
      <w:r/>
      <w:bookmarkStart w:id="168" w:name="_Toc16938553"/>
      <w:r/>
      <w:bookmarkStart w:id="169" w:name="_Toc513029237"/>
      <w:r>
        <w:rPr>
          <w:rFonts w:hint="eastAsia" w:ascii="宋体" w:hAnsi="宋体" w:eastAsia="宋体" w:cs="宋体"/>
          <w:b/>
          <w:bCs/>
          <w:color w:val="auto"/>
          <w:highlight w:val="none"/>
        </w:rPr>
        <w:t xml:space="preserve">八、政策功能</w:t>
      </w:r>
      <w:bookmarkEnd w:id="167"/>
      <w:r/>
      <w:bookmarkEnd w:id="168"/>
      <w:r/>
      <w:bookmarkEnd w:id="169"/>
      <w:r/>
      <w:r/>
    </w:p>
    <w:p>
      <w:pPr>
        <w:ind w:firstLine="482"/>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34、支持中小企业发展</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34.1 执行财政部、工业和信息化部关于印发《政府采购促进中小企业发展管理办法》的通知（财库〔2020〕46号）、苏财购[2022]45号，本项目专门面向中型企业、小型企业、微型企业、残疾人福利性单位、监狱企业进行采购，符合文件要求的供应商应提交《中小企业声明函》。</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34.2 供应商为残疾人福利性单位的，符合财库〔2017〕141号文件规定条件的残疾人福利性单位视同小型、微型企业，提供《残疾人福利性单位声明函》。</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34.3 供应商为监狱企业的，根据《财政部 司法部关于政府采购支持监狱企业发展有关问题的通知》（财库〔2014〕68号），监狱企业视同小微企业，享受政府采购支持政策。提供省级以上监狱管理局、戒毒管理局（含新疆生产建设兵团）出具的属于监狱企业的证明文件。</w:t>
      </w:r>
      <w:r/>
    </w:p>
    <w:p>
      <w:pPr>
        <w:ind w:firstLine="480"/>
        <w:jc w:val="left"/>
        <w:spacing w:line="360" w:lineRule="auto"/>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35、支持绿色发展</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35.1 本项目执行《关于印发环境标志产品政府采购品目清单的通知》（财库〔2019〕18号）、《关于印发节能产品政府采购品目清单的通知》（财库〔2019〕19号）等有关规定，采购人拟采购的产品属于品目清单范围的，采购人及其委托的代理机构将依据国家确定的认证机构出具的、处于有效期之内的节能产品、环境标志产品认证证书，对获得证书的产品实施政府优先采购或强制采购。供应商须按磋商文件要求提供相关产品认证证书。</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35.2 为助力打好污染防治攻坚战，推广使用绿色包装，政府采购货物、工程和服务项目中涉及商品包装和快递包装的，供应商提供产品及相关快递服务的具体包装要求要参考《商品包装政府采购需求标准（试行）》《快递包装政府采购需求标准（试行）》。</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35.3 政府采购项目执行《财政部 生态环境部 工业和信息化部关于印发&lt;绿色数据中心政府采购需求标准（试行）&gt;的通知》（财库〔2023〕7号）相关要求。</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35.4 为落实挥发性有机化合物（VOCs）治理要求，政府采购项目中涉及涂料、胶黏剂、油墨、清洗剂等挥发性有机物产品的，属于强制性标准的，供应商须执行国家和我省VOCs含量限制标准；供应商优先使用低挥发性原辅材料，将使用低VOCs含量的涂料、胶黏剂等纳入政府采购合同条款。</w:t>
      </w:r>
      <w:r/>
    </w:p>
    <w:p>
      <w:pPr>
        <w:pStyle w:val="741"/>
        <w:ind w:firstLine="480"/>
        <w:jc w:val="left"/>
        <w:spacing w:line="500" w:lineRule="exact"/>
        <w:rPr>
          <w:rFonts w:hint="eastAsia" w:ascii="宋体" w:hAnsi="宋体" w:eastAsia="宋体" w:cs="宋体"/>
          <w:color w:val="auto"/>
          <w:sz w:val="24"/>
          <w:szCs w:val="24"/>
          <w:highlight w:val="none"/>
        </w:rPr>
      </w:pPr>
      <w:r/>
      <w:bookmarkStart w:id="170" w:name="_Toc465856613"/>
      <w:r/>
      <w:bookmarkStart w:id="171" w:name="_Toc18421"/>
      <w:r/>
      <w:r/>
    </w:p>
    <w:p>
      <w:pPr>
        <w:pStyle w:val="741"/>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16"/>
        <w:rPr>
          <w:rFonts w:hint="eastAsia" w:ascii="宋体" w:hAnsi="宋体" w:eastAsia="宋体" w:cs="宋体"/>
          <w:color w:val="auto"/>
          <w:highlight w:val="none"/>
        </w:rPr>
      </w:pPr>
      <w:r>
        <w:rPr>
          <w:rFonts w:hint="eastAsia" w:ascii="宋体" w:hAnsi="宋体" w:eastAsia="宋体" w:cs="宋体"/>
          <w:color w:val="auto"/>
          <w:highlight w:val="none"/>
        </w:rPr>
        <w:br w:type="page" w:clear="all"/>
      </w:r>
      <w:bookmarkStart w:id="172" w:name="_Toc948"/>
      <w:r/>
      <w:bookmarkStart w:id="173" w:name="_Toc26254"/>
      <w:r/>
      <w:bookmarkStart w:id="174" w:name="_Toc19303"/>
      <w:r>
        <w:rPr>
          <w:rFonts w:hint="eastAsia" w:ascii="宋体" w:hAnsi="宋体" w:eastAsia="宋体" w:cs="宋体"/>
          <w:color w:val="auto"/>
          <w:highlight w:val="none"/>
        </w:rPr>
        <w:t xml:space="preserve">第三章 </w:t>
      </w:r>
      <w:bookmarkEnd w:id="170"/>
      <w:r/>
      <w:bookmarkEnd w:id="171"/>
      <w:r/>
      <w:bookmarkEnd w:id="172"/>
      <w:r/>
      <w:bookmarkEnd w:id="173"/>
      <w:r>
        <w:rPr>
          <w:rFonts w:hint="eastAsia" w:ascii="宋体" w:hAnsi="宋体" w:eastAsia="宋体" w:cs="宋体"/>
          <w:color w:val="auto"/>
          <w:highlight w:val="none"/>
        </w:rPr>
        <w:t xml:space="preserve">合同文本</w:t>
      </w:r>
      <w:bookmarkEnd w:id="174"/>
      <w:r/>
      <w:r/>
    </w:p>
    <w:p>
      <w:pPr>
        <w:ind w:firstLine="2078"/>
        <w:rPr>
          <w:rFonts w:hint="eastAsia" w:ascii="宋体" w:hAnsi="宋体" w:eastAsia="宋体" w:cs="宋体"/>
          <w:b/>
          <w:bCs/>
          <w:color w:val="auto"/>
          <w:sz w:val="52"/>
          <w:highlight w:val="none"/>
        </w:rPr>
      </w:pPr>
      <w:r>
        <w:rPr>
          <w:rFonts w:hint="eastAsia" w:ascii="宋体" w:hAnsi="宋体" w:eastAsia="宋体" w:cs="宋体"/>
          <w:b/>
          <w:bCs/>
          <w:color w:val="auto"/>
          <w:sz w:val="52"/>
          <w:highlight w:val="none"/>
        </w:rPr>
      </w:r>
      <w:r/>
    </w:p>
    <w:p>
      <w:pPr>
        <w:jc w:val="center"/>
        <w:rPr>
          <w:rFonts w:hint="eastAsia" w:ascii="宋体" w:hAnsi="宋体" w:eastAsia="宋体" w:cs="宋体"/>
          <w:b/>
          <w:bCs/>
          <w:color w:val="auto"/>
          <w:sz w:val="48"/>
          <w:szCs w:val="48"/>
          <w:highlight w:val="none"/>
        </w:rPr>
      </w:pPr>
      <w:r>
        <w:rPr>
          <w:rFonts w:hint="eastAsia" w:ascii="宋体" w:hAnsi="宋体" w:eastAsia="宋体" w:cs="宋体"/>
          <w:b/>
          <w:bCs/>
          <w:color w:val="auto"/>
          <w:sz w:val="48"/>
          <w:szCs w:val="48"/>
          <w:highlight w:val="none"/>
        </w:rPr>
        <w:t xml:space="preserve">连 云 港 市 政 府 采 购</w:t>
      </w:r>
      <w:r/>
    </w:p>
    <w:p>
      <w:pPr>
        <w:ind w:firstLine="960"/>
        <w:rPr>
          <w:rFonts w:hint="eastAsia" w:ascii="宋体" w:hAnsi="宋体" w:eastAsia="宋体" w:cs="宋体"/>
          <w:color w:val="auto"/>
          <w:sz w:val="48"/>
          <w:szCs w:val="48"/>
          <w:highlight w:val="none"/>
        </w:rPr>
      </w:pPr>
      <w:r>
        <w:rPr>
          <w:rFonts w:hint="eastAsia" w:ascii="宋体" w:hAnsi="宋体" w:eastAsia="宋体" w:cs="宋体"/>
          <w:color w:val="auto"/>
          <w:sz w:val="48"/>
          <w:szCs w:val="48"/>
          <w:highlight w:val="none"/>
        </w:rPr>
      </w:r>
      <w:r/>
    </w:p>
    <w:p>
      <w:pPr>
        <w:ind w:firstLine="960"/>
        <w:rPr>
          <w:rFonts w:hint="eastAsia" w:ascii="宋体" w:hAnsi="宋体" w:eastAsia="宋体" w:cs="宋体"/>
          <w:color w:val="auto"/>
          <w:sz w:val="48"/>
          <w:szCs w:val="48"/>
          <w:highlight w:val="none"/>
        </w:rPr>
      </w:pPr>
      <w:r>
        <w:rPr>
          <w:rFonts w:hint="eastAsia" w:ascii="宋体" w:hAnsi="宋体" w:eastAsia="宋体" w:cs="宋体"/>
          <w:color w:val="auto"/>
          <w:sz w:val="48"/>
          <w:szCs w:val="48"/>
          <w:highlight w:val="none"/>
        </w:rPr>
      </w:r>
      <w:r/>
    </w:p>
    <w:p>
      <w:pPr>
        <w:ind w:firstLine="1918"/>
        <w:rPr>
          <w:rFonts w:hint="eastAsia" w:ascii="宋体" w:hAnsi="宋体" w:eastAsia="宋体" w:cs="宋体"/>
          <w:b/>
          <w:bCs/>
          <w:color w:val="auto"/>
          <w:sz w:val="48"/>
          <w:szCs w:val="48"/>
          <w:highlight w:val="none"/>
        </w:rPr>
        <w:outlineLvl w:val="1"/>
      </w:pPr>
      <w:r/>
      <w:bookmarkStart w:id="175" w:name="_Toc1891"/>
      <w:r>
        <w:rPr>
          <w:rFonts w:hint="eastAsia" w:ascii="宋体" w:hAnsi="宋体" w:eastAsia="宋体" w:cs="宋体"/>
          <w:b/>
          <w:bCs/>
          <w:color w:val="auto"/>
          <w:sz w:val="48"/>
          <w:szCs w:val="48"/>
          <w:highlight w:val="none"/>
        </w:rPr>
        <w:t xml:space="preserve">合同</w:t>
      </w:r>
      <w:bookmarkEnd w:id="175"/>
      <w:r/>
      <w:r/>
    </w:p>
    <w:p>
      <w:pPr>
        <w:ind w:firstLine="2502"/>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r>
      <w:r/>
    </w:p>
    <w:p>
      <w:pPr>
        <w:pStyle w:val="734"/>
        <w:ind w:firstLine="851"/>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960"/>
        <w:rPr>
          <w:rFonts w:hint="eastAsia" w:ascii="宋体" w:hAnsi="宋体" w:eastAsia="宋体" w:cs="宋体"/>
          <w:color w:val="auto"/>
          <w:sz w:val="48"/>
          <w:szCs w:val="48"/>
          <w:highlight w:val="none"/>
        </w:rPr>
      </w:pPr>
      <w:r>
        <w:rPr>
          <w:rFonts w:hint="eastAsia" w:ascii="宋体" w:hAnsi="宋体" w:eastAsia="宋体" w:cs="宋体"/>
          <w:color w:val="auto"/>
          <w:sz w:val="48"/>
          <w:szCs w:val="48"/>
          <w:highlight w:val="none"/>
        </w:rPr>
      </w:r>
      <w:r/>
    </w:p>
    <w:p>
      <w:pPr>
        <w:ind w:firstLine="1928"/>
        <w:rPr>
          <w:rFonts w:hint="eastAsia" w:ascii="宋体" w:hAnsi="宋体" w:eastAsia="宋体" w:cs="宋体"/>
          <w:b/>
          <w:bCs/>
          <w:color w:val="auto"/>
          <w:sz w:val="48"/>
          <w:szCs w:val="48"/>
          <w:highlight w:val="none"/>
        </w:rPr>
      </w:pPr>
      <w:r>
        <w:rPr>
          <w:rFonts w:hint="eastAsia" w:ascii="宋体" w:hAnsi="宋体" w:eastAsia="宋体" w:cs="宋体"/>
          <w:b/>
          <w:bCs/>
          <w:color w:val="auto"/>
          <w:sz w:val="48"/>
          <w:szCs w:val="48"/>
          <w:highlight w:val="none"/>
        </w:rPr>
        <w:t xml:space="preserve">合同编号：</w:t>
      </w:r>
      <w:r/>
    </w:p>
    <w:p>
      <w:pPr>
        <w:ind w:firstLine="960"/>
        <w:rPr>
          <w:rFonts w:hint="eastAsia" w:ascii="宋体" w:hAnsi="宋体" w:eastAsia="宋体" w:cs="宋体"/>
          <w:color w:val="auto"/>
          <w:sz w:val="48"/>
          <w:szCs w:val="48"/>
          <w:highlight w:val="none"/>
        </w:rPr>
      </w:pPr>
      <w:r>
        <w:rPr>
          <w:rFonts w:hint="eastAsia" w:ascii="宋体" w:hAnsi="宋体" w:eastAsia="宋体" w:cs="宋体"/>
          <w:color w:val="auto"/>
          <w:sz w:val="48"/>
          <w:szCs w:val="48"/>
          <w:highlight w:val="none"/>
        </w:rPr>
      </w:r>
      <w:r/>
    </w:p>
    <w:p>
      <w:pPr>
        <w:ind w:firstLine="960"/>
        <w:rPr>
          <w:rFonts w:hint="eastAsia" w:ascii="宋体" w:hAnsi="宋体" w:eastAsia="宋体" w:cs="宋体"/>
          <w:color w:val="auto"/>
          <w:sz w:val="48"/>
          <w:szCs w:val="48"/>
          <w:highlight w:val="none"/>
        </w:rPr>
      </w:pPr>
      <w:r>
        <w:rPr>
          <w:rFonts w:hint="eastAsia" w:ascii="宋体" w:hAnsi="宋体" w:eastAsia="宋体" w:cs="宋体"/>
          <w:color w:val="auto"/>
          <w:sz w:val="48"/>
          <w:szCs w:val="48"/>
          <w:highlight w:val="none"/>
        </w:rPr>
      </w:r>
      <w:r/>
    </w:p>
    <w:p>
      <w:pPr>
        <w:ind w:firstLine="960"/>
        <w:rPr>
          <w:rFonts w:hint="eastAsia" w:ascii="宋体" w:hAnsi="宋体" w:eastAsia="宋体" w:cs="宋体"/>
          <w:color w:val="auto"/>
          <w:sz w:val="48"/>
          <w:szCs w:val="48"/>
          <w:highlight w:val="none"/>
        </w:rPr>
      </w:pPr>
      <w:r>
        <w:rPr>
          <w:rFonts w:hint="eastAsia" w:ascii="宋体" w:hAnsi="宋体" w:eastAsia="宋体" w:cs="宋体"/>
          <w:color w:val="auto"/>
          <w:sz w:val="48"/>
          <w:szCs w:val="48"/>
          <w:highlight w:val="none"/>
        </w:rPr>
      </w:r>
      <w:r/>
    </w:p>
    <w:p>
      <w:pPr>
        <w:ind w:firstLine="1918"/>
        <w:rPr>
          <w:rFonts w:hint="eastAsia" w:ascii="宋体" w:hAnsi="宋体" w:eastAsia="宋体" w:cs="宋体"/>
          <w:b/>
          <w:bCs/>
          <w:color w:val="auto"/>
          <w:sz w:val="48"/>
          <w:szCs w:val="48"/>
          <w:highlight w:val="none"/>
        </w:rPr>
      </w:pPr>
      <w:r>
        <w:rPr>
          <w:rFonts w:hint="eastAsia" w:ascii="宋体" w:hAnsi="宋体" w:eastAsia="宋体" w:cs="宋体"/>
          <w:b/>
          <w:bCs/>
          <w:color w:val="auto"/>
          <w:sz w:val="48"/>
          <w:szCs w:val="48"/>
          <w:highlight w:val="none"/>
        </w:rPr>
        <w:t xml:space="preserve">采购人：</w:t>
      </w:r>
      <w:r/>
    </w:p>
    <w:p>
      <w:pPr>
        <w:ind w:firstLine="1918"/>
        <w:rPr>
          <w:rFonts w:hint="eastAsia" w:ascii="宋体" w:hAnsi="宋体" w:eastAsia="宋体" w:cs="宋体"/>
          <w:color w:val="auto"/>
          <w:sz w:val="48"/>
          <w:szCs w:val="48"/>
          <w:highlight w:val="none"/>
        </w:rPr>
      </w:pPr>
      <w:r>
        <w:rPr>
          <w:rFonts w:hint="eastAsia" w:ascii="宋体" w:hAnsi="宋体" w:eastAsia="宋体" w:cs="宋体"/>
          <w:b/>
          <w:bCs/>
          <w:color w:val="auto"/>
          <w:sz w:val="48"/>
          <w:szCs w:val="48"/>
          <w:highlight w:val="none"/>
        </w:rPr>
        <w:t xml:space="preserve">成交供应商：</w:t>
      </w:r>
      <w:r/>
    </w:p>
    <w:p>
      <w:pPr>
        <w:pStyle w:val="741"/>
        <w:spacing w:line="500" w:lineRule="exact"/>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r>
      <w:r/>
    </w:p>
    <w:p>
      <w:pPr>
        <w:ind w:firstLine="480"/>
        <w:jc w:val="left"/>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ind w:firstLine="480"/>
        <w:jc w:val="left"/>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ind w:firstLine="480"/>
        <w:jc w:val="left"/>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以下为成交后签定本项目合同的通用条款，成交供应商不得提出实质性的修改，关于专用条款将由采购人与成交供应商结合本项目具体情况协商后签订。</w:t>
      </w:r>
      <w:r/>
    </w:p>
    <w:p>
      <w:pPr>
        <w:rPr>
          <w:rFonts w:hint="eastAsia" w:ascii="宋体" w:hAnsi="宋体" w:eastAsia="宋体" w:cs="宋体"/>
          <w:b/>
          <w:color w:val="auto"/>
          <w:sz w:val="32"/>
          <w:szCs w:val="32"/>
          <w:highlight w:val="none"/>
        </w:rPr>
      </w:pPr>
      <w:r/>
      <w:bookmarkStart w:id="176" w:name="_Hlt16619369"/>
      <w:r/>
      <w:bookmarkEnd w:id="176"/>
      <w:r>
        <w:rPr>
          <w:rFonts w:hint="eastAsia" w:ascii="宋体" w:hAnsi="宋体" w:eastAsia="宋体" w:cs="宋体"/>
          <w:b/>
          <w:color w:val="auto"/>
          <w:sz w:val="32"/>
          <w:szCs w:val="32"/>
          <w:highlight w:val="none"/>
        </w:rPr>
        <w:br w:type="page" w:clear="all"/>
      </w:r>
      <w:r/>
    </w:p>
    <w:p>
      <w:pPr>
        <w:jc w:val="center"/>
        <w:spacing w:line="56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江苏省政府采购合同</w:t>
      </w:r>
      <w:bookmarkStart w:id="177" w:name="_Toc12693"/>
      <w:r/>
      <w:bookmarkStart w:id="178" w:name="_Toc465856614"/>
      <w:r>
        <w:rPr>
          <w:rFonts w:hint="eastAsia" w:ascii="宋体" w:hAnsi="宋体" w:eastAsia="宋体" w:cs="宋体"/>
          <w:b/>
          <w:color w:val="auto"/>
          <w:sz w:val="32"/>
          <w:szCs w:val="32"/>
          <w:highlight w:val="none"/>
        </w:rPr>
        <w:t xml:space="preserve">（合同编号）</w:t>
      </w:r>
      <w:r/>
    </w:p>
    <w:p>
      <w:pPr>
        <w:pStyle w:val="732"/>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甲方：</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乙方：</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见证方：</w:t>
      </w:r>
      <w:r>
        <w:rPr>
          <w:rFonts w:hint="eastAsia" w:ascii="宋体" w:hAnsi="宋体" w:cs="宋体"/>
          <w:color w:val="auto"/>
          <w:sz w:val="24"/>
          <w:highlight w:val="none"/>
          <w:lang w:eastAsia="zh-CN"/>
        </w:rPr>
        <w:t xml:space="preserve">连云港衡致工程造价咨询有限公司</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甲、乙双方根据      年   月  日   【项目名称】  项目（项目编号： 【项目编号】 ）竞争性磋商采购的结果，签订本合同。</w:t>
      </w:r>
      <w:r/>
    </w:p>
    <w:p>
      <w:pPr>
        <w:pStyle w:val="741"/>
        <w:ind w:firstLine="482"/>
        <w:jc w:val="left"/>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一、货物内容</w:t>
      </w:r>
      <w:r/>
    </w:p>
    <w:p>
      <w:pPr>
        <w:pStyle w:val="741"/>
        <w:ind w:firstLine="480"/>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1.1 货物及其数量如下表</w:t>
      </w:r>
      <w:r/>
    </w:p>
    <w:tbl>
      <w:tblPr>
        <w:tblStyle w:val="726"/>
        <w:tblW w:w="487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144"/>
        <w:gridCol w:w="1245"/>
        <w:gridCol w:w="900"/>
        <w:gridCol w:w="1950"/>
        <w:gridCol w:w="765"/>
        <w:gridCol w:w="795"/>
        <w:gridCol w:w="870"/>
        <w:gridCol w:w="1048"/>
      </w:tblGrid>
      <w:tr>
        <w:trPr>
          <w:cantSplit/>
          <w:jc w:val="center"/>
          <w:trHeight w:val="510"/>
        </w:trPr>
        <w:tc>
          <w:tcPr>
            <w:tcW w:w="2144" w:type="dxa"/>
            <w:vAlign w:val="center"/>
            <w:textDirection w:val="lrTb"/>
            <w:noWrap/>
          </w:tcPr>
          <w:p>
            <w:pPr>
              <w:jc w:val="center"/>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货物名称</w:t>
            </w:r>
            <w:r/>
          </w:p>
        </w:tc>
        <w:tc>
          <w:tcPr>
            <w:tcW w:w="1245" w:type="dxa"/>
            <w:vAlign w:val="center"/>
            <w:textDirection w:val="lrTb"/>
            <w:noWrap/>
          </w:tcPr>
          <w:p>
            <w:pPr>
              <w:jc w:val="center"/>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生产厂家</w:t>
            </w:r>
            <w:r/>
          </w:p>
        </w:tc>
        <w:tc>
          <w:tcPr>
            <w:tcW w:w="900" w:type="dxa"/>
            <w:vAlign w:val="center"/>
            <w:textDirection w:val="lrTb"/>
            <w:noWrap/>
          </w:tcPr>
          <w:p>
            <w:pPr>
              <w:jc w:val="center"/>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品牌</w:t>
            </w:r>
            <w:r/>
          </w:p>
        </w:tc>
        <w:tc>
          <w:tcPr>
            <w:tcW w:w="1950" w:type="dxa"/>
            <w:vAlign w:val="center"/>
            <w:textDirection w:val="lrTb"/>
            <w:noWrap/>
          </w:tcPr>
          <w:p>
            <w:pPr>
              <w:jc w:val="center"/>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主要技术规格要求</w:t>
            </w:r>
            <w:r/>
          </w:p>
        </w:tc>
        <w:tc>
          <w:tcPr>
            <w:tcW w:w="765" w:type="dxa"/>
            <w:vAlign w:val="center"/>
            <w:textDirection w:val="lrTb"/>
            <w:noWrap/>
          </w:tcPr>
          <w:p>
            <w:pPr>
              <w:jc w:val="center"/>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单位</w:t>
            </w:r>
            <w:r/>
          </w:p>
        </w:tc>
        <w:tc>
          <w:tcPr>
            <w:tcW w:w="795" w:type="dxa"/>
            <w:vAlign w:val="center"/>
            <w:textDirection w:val="lrTb"/>
            <w:noWrap/>
          </w:tcPr>
          <w:p>
            <w:pPr>
              <w:jc w:val="center"/>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数量</w:t>
            </w:r>
            <w:r/>
          </w:p>
        </w:tc>
        <w:tc>
          <w:tcPr>
            <w:tcW w:w="870" w:type="dxa"/>
            <w:vAlign w:val="center"/>
            <w:textDirection w:val="lrTb"/>
            <w:noWrap/>
          </w:tcPr>
          <w:p>
            <w:pPr>
              <w:jc w:val="center"/>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单价</w:t>
            </w:r>
            <w:r/>
          </w:p>
        </w:tc>
        <w:tc>
          <w:tcPr>
            <w:tcW w:w="1048" w:type="dxa"/>
            <w:vAlign w:val="center"/>
            <w:textDirection w:val="lrTb"/>
            <w:noWrap/>
          </w:tcPr>
          <w:p>
            <w:pPr>
              <w:jc w:val="center"/>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总价</w:t>
            </w:r>
            <w:r/>
          </w:p>
        </w:tc>
      </w:tr>
      <w:tr>
        <w:trPr>
          <w:cantSplit/>
          <w:jc w:val="center"/>
          <w:trHeight w:val="510"/>
        </w:trPr>
        <w:tc>
          <w:tcPr>
            <w:tcW w:w="2144" w:type="dxa"/>
            <w:vAlign w:val="center"/>
            <w:textDirection w:val="lrTb"/>
            <w:noWrap/>
          </w:tcPr>
          <w:p>
            <w:pPr>
              <w:jc w:val="center"/>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r>
            <w:r/>
          </w:p>
        </w:tc>
        <w:tc>
          <w:tcPr>
            <w:tcW w:w="1245" w:type="dxa"/>
            <w:vAlign w:val="center"/>
            <w:textDirection w:val="lrTb"/>
            <w:noWrap/>
          </w:tcPr>
          <w:p>
            <w:pPr>
              <w:jc w:val="center"/>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r>
            <w:r/>
          </w:p>
        </w:tc>
        <w:tc>
          <w:tcPr>
            <w:tcW w:w="900" w:type="dxa"/>
            <w:vAlign w:val="center"/>
            <w:textDirection w:val="lrTb"/>
            <w:noWrap/>
          </w:tcPr>
          <w:p>
            <w:pPr>
              <w:jc w:val="center"/>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r>
            <w:r/>
          </w:p>
        </w:tc>
        <w:tc>
          <w:tcPr>
            <w:tcW w:w="1950" w:type="dxa"/>
            <w:vAlign w:val="center"/>
            <w:textDirection w:val="lrTb"/>
            <w:noWrap/>
          </w:tcPr>
          <w:p>
            <w:pPr>
              <w:jc w:val="center"/>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r>
            <w:r/>
          </w:p>
        </w:tc>
        <w:tc>
          <w:tcPr>
            <w:tcW w:w="765" w:type="dxa"/>
            <w:vAlign w:val="center"/>
            <w:textDirection w:val="lrTb"/>
            <w:noWrap/>
          </w:tcPr>
          <w:p>
            <w:pPr>
              <w:jc w:val="center"/>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r>
            <w:r/>
          </w:p>
        </w:tc>
        <w:tc>
          <w:tcPr>
            <w:tcW w:w="795" w:type="dxa"/>
            <w:vAlign w:val="center"/>
            <w:textDirection w:val="lrTb"/>
            <w:noWrap/>
          </w:tcPr>
          <w:p>
            <w:pPr>
              <w:jc w:val="center"/>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r>
            <w:r/>
          </w:p>
        </w:tc>
        <w:tc>
          <w:tcPr>
            <w:tcW w:w="870" w:type="dxa"/>
            <w:vAlign w:val="center"/>
            <w:textDirection w:val="lrTb"/>
            <w:noWrap/>
          </w:tcPr>
          <w:p>
            <w:pPr>
              <w:jc w:val="center"/>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r>
            <w:r/>
          </w:p>
        </w:tc>
        <w:tc>
          <w:tcPr>
            <w:tcW w:w="1048" w:type="dxa"/>
            <w:vAlign w:val="center"/>
            <w:textDirection w:val="lrTb"/>
            <w:noWrap/>
          </w:tcPr>
          <w:p>
            <w:pPr>
              <w:jc w:val="center"/>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r>
            <w:r/>
          </w:p>
        </w:tc>
      </w:tr>
      <w:tr>
        <w:trPr>
          <w:cantSplit/>
          <w:jc w:val="center"/>
          <w:trHeight w:val="510"/>
        </w:trPr>
        <w:tc>
          <w:tcPr>
            <w:gridSpan w:val="6"/>
            <w:tcW w:w="7799" w:type="dxa"/>
            <w:vAlign w:val="center"/>
            <w:textDirection w:val="lrTb"/>
            <w:noWrap/>
          </w:tcPr>
          <w:p>
            <w:pPr>
              <w:jc w:val="center"/>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总计大写：</w:t>
            </w:r>
            <w:r/>
          </w:p>
        </w:tc>
        <w:tc>
          <w:tcPr>
            <w:gridSpan w:val="2"/>
            <w:tcW w:w="1918" w:type="dxa"/>
            <w:vAlign w:val="center"/>
            <w:textDirection w:val="lrTb"/>
            <w:noWrap/>
          </w:tcPr>
          <w:p>
            <w:pPr>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w:t>
            </w:r>
            <w:r/>
          </w:p>
        </w:tc>
      </w:tr>
    </w:tbl>
    <w:p>
      <w:pPr>
        <w:pStyle w:val="741"/>
        <w:ind w:firstLine="480"/>
        <w:spacing w:line="360" w:lineRule="auto"/>
        <w:rPr>
          <w:rFonts w:hint="eastAsia" w:ascii="宋体" w:hAnsi="宋体" w:eastAsia="宋体" w:cs="宋体"/>
          <w:b/>
          <w:color w:val="auto"/>
          <w:sz w:val="24"/>
          <w:szCs w:val="24"/>
          <w:highlight w:val="none"/>
          <w:u w:val="single"/>
        </w:rPr>
      </w:pPr>
      <w:r>
        <w:rPr>
          <w:rFonts w:hint="eastAsia" w:ascii="宋体" w:hAnsi="宋体" w:eastAsia="宋体" w:cs="宋体"/>
          <w:bCs/>
          <w:color w:val="auto"/>
          <w:sz w:val="24"/>
          <w:szCs w:val="24"/>
          <w:highlight w:val="none"/>
        </w:rPr>
        <w:t xml:space="preserve">1.2 交货地点：</w:t>
      </w:r>
      <w:r>
        <w:rPr>
          <w:rFonts w:hint="eastAsia" w:hAnsi="宋体" w:cs="宋体"/>
          <w:bCs/>
          <w:color w:val="auto"/>
          <w:sz w:val="24"/>
          <w:szCs w:val="24"/>
          <w:highlight w:val="none"/>
          <w:lang w:val="en-US" w:eastAsia="zh-CN"/>
        </w:rPr>
        <w:t xml:space="preserve">赣榆区内甲方指定地点</w:t>
      </w:r>
      <w:r>
        <w:rPr>
          <w:rFonts w:hint="eastAsia" w:ascii="宋体" w:hAnsi="宋体" w:eastAsia="宋体" w:cs="宋体"/>
          <w:bCs/>
          <w:color w:val="auto"/>
          <w:sz w:val="24"/>
          <w:szCs w:val="24"/>
          <w:highlight w:val="none"/>
        </w:rPr>
        <w:t xml:space="preserve">。</w:t>
      </w:r>
      <w:r/>
    </w:p>
    <w:p>
      <w:pPr>
        <w:pStyle w:val="741"/>
        <w:numPr>
          <w:ilvl w:val="0"/>
          <w:numId w:val="4"/>
        </w:num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合同总价</w:t>
      </w:r>
      <w:r/>
    </w:p>
    <w:p>
      <w:pPr>
        <w:pStyle w:val="741"/>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 本合同总金额为（大写）：元（￥）人民币。</w:t>
      </w:r>
      <w:r/>
    </w:p>
    <w:p>
      <w:pPr>
        <w:pStyle w:val="762"/>
        <w:ind w:firstLine="480"/>
        <w:jc w:val="both"/>
        <w:spacing w:before="0" w:beforeAutospacing="0" w:after="0" w:afterAutospacing="0" w:line="360" w:lineRule="auto"/>
        <w:widowControl w:val="off"/>
        <w:rPr>
          <w:rFonts w:hint="eastAsia" w:ascii="宋体" w:hAnsi="宋体" w:eastAsia="宋体" w:cs="宋体"/>
          <w:color w:val="auto"/>
          <w:highlight w:val="none"/>
          <w:lang w:val="zh-CN"/>
        </w:rPr>
      </w:pPr>
      <w:r>
        <w:rPr>
          <w:rFonts w:hint="eastAsia" w:ascii="宋体" w:hAnsi="宋体" w:eastAsia="宋体" w:cs="宋体"/>
          <w:color w:val="auto"/>
          <w:highlight w:val="none"/>
        </w:rPr>
        <w:t xml:space="preserve">2.2 本合同总金额为完成本项目所有含税费用。包含但不限于货物本身价格、人工费、检测、包装费、运输费、装卸费、安装调试费</w:t>
      </w:r>
      <w:r>
        <w:rPr>
          <w:rFonts w:hint="eastAsia" w:ascii="宋体" w:hAnsi="宋体" w:eastAsia="宋体" w:cs="宋体"/>
          <w:color w:val="auto"/>
          <w:highlight w:val="none"/>
          <w:lang w:val="zh-CN"/>
        </w:rPr>
        <w:t xml:space="preserve">、售后服务、</w:t>
      </w:r>
      <w:r>
        <w:rPr>
          <w:rFonts w:hint="eastAsia" w:ascii="宋体" w:hAnsi="宋体" w:eastAsia="宋体" w:cs="宋体"/>
          <w:color w:val="auto"/>
          <w:highlight w:val="none"/>
        </w:rPr>
        <w:t xml:space="preserve">管理、</w:t>
      </w:r>
      <w:r>
        <w:rPr>
          <w:rFonts w:hint="eastAsia" w:ascii="宋体" w:hAnsi="宋体" w:eastAsia="宋体" w:cs="宋体"/>
          <w:color w:val="auto"/>
          <w:highlight w:val="none"/>
          <w:lang w:val="zh-CN"/>
        </w:rPr>
        <w:t xml:space="preserve">利润、税金、保险、风险、政策性文件规定及合同包含的所有风险、责任等各项应有费用。</w:t>
      </w:r>
      <w:r/>
    </w:p>
    <w:p>
      <w:pPr>
        <w:pStyle w:val="741"/>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三、技术资料</w:t>
      </w:r>
      <w:r/>
    </w:p>
    <w:p>
      <w:pPr>
        <w:pStyle w:val="741"/>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 甲方向乙方提供货物的有关技术资料。</w:t>
      </w:r>
      <w:r/>
    </w:p>
    <w:p>
      <w:pPr>
        <w:pStyle w:val="741"/>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 乙方应按磋商文件规定的时间向甲方提供使用货物的有关技术资料。</w:t>
      </w:r>
      <w:r/>
    </w:p>
    <w:p>
      <w:pPr>
        <w:pStyle w:val="741"/>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 没有甲方事先书面同意，乙方不得将由甲方提供的有关合同或任何合同条文、规格、计划、资料提供给与履行本合同无关的任何其他人。即使向履行本合同有关的人员提供，也应注意保密并限于履行合同的必需范围。</w:t>
      </w:r>
      <w:r/>
    </w:p>
    <w:p>
      <w:pPr>
        <w:pStyle w:val="741"/>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四、知识产权</w:t>
      </w:r>
      <w:r/>
    </w:p>
    <w:p>
      <w:pPr>
        <w:pStyle w:val="741"/>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 乙方应保证所提供的货物或其任何一部分均不会侵犯任何第三方的专利权、商标权或著作权。</w:t>
      </w:r>
      <w:r/>
    </w:p>
    <w:p>
      <w:pPr>
        <w:pStyle w:val="741"/>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 乙方保证所交付的货物所有权完全属于乙方且无任何抵押、查封等产权瑕疵。如乙方所交货物有产权瑕疵的，视为乙方违约，按照本合同第12条相关条款约定处理。但在已经全部支付完合同款后才发现有产权瑕疵的，除了支付违约金，乙方还应负担由此而产生的一切损失。</w:t>
      </w:r>
      <w:r/>
    </w:p>
    <w:p>
      <w:pPr>
        <w:pStyle w:val="741"/>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五、转包或分包</w:t>
      </w:r>
      <w:r/>
    </w:p>
    <w:p>
      <w:pPr>
        <w:pStyle w:val="741"/>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 本合同范围内所需货物，应由乙方直接供应，不得转让他人供应；</w:t>
      </w:r>
      <w:r/>
    </w:p>
    <w:p>
      <w:pPr>
        <w:pStyle w:val="741"/>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5.2 除非得到甲方的书面同意，乙方不得部分分包给他人供应；</w:t>
      </w:r>
      <w:r/>
    </w:p>
    <w:p>
      <w:pPr>
        <w:pStyle w:val="741"/>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5.3 如有转让和未经甲方同意的分包行为，甲方有权终止合同。 </w:t>
      </w:r>
      <w:r/>
    </w:p>
    <w:p>
      <w:pPr>
        <w:pStyle w:val="741"/>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六、质保期</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6.1 质保期</w:t>
      </w:r>
      <w:r>
        <w:rPr>
          <w:rFonts w:hint="eastAsia" w:ascii="宋体" w:hAnsi="宋体" w:eastAsia="宋体" w:cs="宋体"/>
          <w:color w:val="auto"/>
          <w:sz w:val="24"/>
          <w:highlight w:val="none"/>
          <w:u w:val="single"/>
        </w:rPr>
        <w:t xml:space="preserve"> </w:t>
      </w:r>
      <w:r>
        <w:rPr>
          <w:rFonts w:hint="eastAsia" w:ascii="宋体" w:hAnsi="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 </w:t>
      </w:r>
      <w:r>
        <w:rPr>
          <w:rFonts w:hint="eastAsia" w:ascii="宋体" w:hAnsi="宋体" w:cs="宋体"/>
          <w:color w:val="auto"/>
          <w:sz w:val="24"/>
          <w:highlight w:val="none"/>
          <w:lang w:val="en-US" w:eastAsia="zh-CN"/>
        </w:rPr>
        <w:t xml:space="preserve"> </w:t>
      </w:r>
      <w:r>
        <w:rPr>
          <w:rFonts w:hint="eastAsia" w:ascii="宋体" w:hAnsi="宋体" w:eastAsia="宋体" w:cs="宋体"/>
          <w:color w:val="auto"/>
          <w:sz w:val="24"/>
          <w:highlight w:val="none"/>
        </w:rPr>
        <w:t xml:space="preserve">（承诺延长的按其承诺）。在免费质保期内乙方对产品质量实行三包，因产品配置或制造质量问题而引起的故障，乙方应在24小时内立即予以免费维修或更换，由此引起的一切费用由乙方承担。</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6.2 质保期满后，甲方如需延长维保期限，质保费用双方另行协商。</w:t>
      </w:r>
      <w:r/>
    </w:p>
    <w:p>
      <w:pPr>
        <w:pStyle w:val="741"/>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七、供货期限、供货方式及交货地点</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7.1 供货期限：</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7.2 供货方式：</w:t>
      </w:r>
      <w:r/>
    </w:p>
    <w:p>
      <w:pPr>
        <w:ind w:firstLine="480"/>
        <w:spacing w:line="360" w:lineRule="auto"/>
        <w:rPr>
          <w:rFonts w:hint="eastAsia" w:ascii="宋体" w:hAnsi="宋体" w:eastAsia="宋体" w:cs="宋体"/>
          <w:b/>
          <w:color w:val="auto"/>
          <w:sz w:val="24"/>
          <w:highlight w:val="none"/>
        </w:rPr>
      </w:pPr>
      <w:r>
        <w:rPr>
          <w:rFonts w:hint="eastAsia" w:ascii="宋体" w:hAnsi="宋体" w:eastAsia="宋体" w:cs="宋体"/>
          <w:color w:val="auto"/>
          <w:sz w:val="24"/>
          <w:highlight w:val="none"/>
        </w:rPr>
        <w:t xml:space="preserve">7.3 交货地点：</w:t>
      </w:r>
      <w:r>
        <w:rPr>
          <w:rFonts w:hint="eastAsia" w:ascii="宋体" w:hAnsi="宋体" w:cs="宋体"/>
          <w:color w:val="auto"/>
          <w:sz w:val="24"/>
          <w:highlight w:val="none"/>
          <w:lang w:val="en-US" w:eastAsia="zh-CN"/>
        </w:rPr>
        <w:t xml:space="preserve">赣榆区</w:t>
      </w:r>
      <w:r>
        <w:rPr>
          <w:rFonts w:hint="eastAsia" w:ascii="宋体" w:hAnsi="宋体" w:eastAsia="宋体" w:cs="宋体"/>
          <w:color w:val="auto"/>
          <w:sz w:val="24"/>
          <w:highlight w:val="none"/>
          <w:u w:val="single"/>
        </w:rPr>
        <w:t xml:space="preserve">甲方指定地点</w:t>
      </w:r>
      <w:r>
        <w:rPr>
          <w:rFonts w:hint="eastAsia" w:ascii="宋体" w:hAnsi="宋体" w:eastAsia="宋体" w:cs="宋体"/>
          <w:color w:val="auto"/>
          <w:sz w:val="24"/>
          <w:highlight w:val="none"/>
        </w:rPr>
        <w:t xml:space="preserve">。</w:t>
      </w:r>
      <w:r/>
    </w:p>
    <w:p>
      <w:pPr>
        <w:pStyle w:val="741"/>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八、合同价款支付</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8.1 付款方式：</w:t>
      </w:r>
      <w:r>
        <w:rPr>
          <w:rFonts w:hint="eastAsia" w:ascii="宋体" w:hAnsi="宋体" w:eastAsia="宋体" w:cs="宋体"/>
          <w:color w:val="auto"/>
          <w:sz w:val="24"/>
          <w:highlight w:val="yellow"/>
        </w:rPr>
        <w:t xml:space="preserve">合同签订后10个工作日内，甲方向乙方支付合同价款的30%为预付款，剩余款项按实际批次供货量供货完成并经验收合格后，根据项目实施相关规定，财政报账制一次性支付剩余款项（无息）。</w:t>
      </w:r>
      <w:r/>
    </w:p>
    <w:p>
      <w:pPr>
        <w:pStyle w:val="741"/>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8.2 付款前乙方应向甲方开具正规发票，</w:t>
      </w:r>
      <w:r>
        <w:rPr>
          <w:rFonts w:hint="eastAsia" w:ascii="宋体" w:hAnsi="宋体" w:cs="宋体"/>
          <w:color w:val="auto"/>
          <w:sz w:val="24"/>
          <w:highlight w:val="none"/>
          <w:lang w:val="en-US" w:eastAsia="zh-CN"/>
        </w:rPr>
        <w:t xml:space="preserve">供货交接单，质量检验证书，</w:t>
      </w:r>
      <w:r>
        <w:rPr>
          <w:rFonts w:hint="eastAsia" w:ascii="宋体" w:hAnsi="宋体" w:eastAsia="宋体" w:cs="宋体"/>
          <w:color w:val="auto"/>
          <w:sz w:val="24"/>
          <w:szCs w:val="24"/>
          <w:highlight w:val="none"/>
        </w:rPr>
        <w:t xml:space="preserve">甲方自收到发票后10个工作日内将资金支付至合同约定的乙方账户（发票开具日期计算）。</w:t>
      </w:r>
      <w:r/>
    </w:p>
    <w:p>
      <w:pPr>
        <w:pStyle w:val="741"/>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九、质量保证及售后服务</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9.1 乙方应按磋商文件规定的货物性能、技术要求、质量标准向甲方提供未经使用的全新产品。应按照国家有关法律法规规章和“三包”规定以及合同所附的“服务承诺”提供服务。</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9.2 技术支持响应时间。成交供应商需提供本地化的技术支持服务，指定负责人，并配备专门通信朵道，保证服务热线畅通。运行中出现故障时，由采购人通知成交供应商。疑难问题（不危及运行）在24小时内答复用户。重大问题（危及运行）在2小时内到现场处理或通过网络远程处理。特大问题（系统不能正常运行）在2小时内恢复系统运行，并在24小时内派技术人员到现场解决。</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9.3 在保修期内如产品出现质量异常，乙方在接到甲方通知后必须到场处理，若不能如期到场每延迟1日按合同总金额的1%支付违约金。</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9.4 在免费质保期过后，如甲方需乙方技术支</w:t>
      </w:r>
      <w:r>
        <w:rPr>
          <w:rFonts w:hint="eastAsia" w:ascii="宋体" w:hAnsi="宋体" w:eastAsia="宋体" w:cs="宋体"/>
          <w:color w:val="auto"/>
          <w:sz w:val="24"/>
          <w:highlight w:val="none"/>
        </w:rPr>
        <w:t xml:space="preserve">持，乙方在接到甲方通知后2天内必须到场处理，所有费用包括但不限于食宿、差旅费等由乙方承担。乙方派员到甲方地点进行交货、调试、维修或售后服务，应派遣乙方有雇佣或聘请的、有相应知识技能的乙方员工进行操作，乙方员工应向甲方出示乙方开具的授权委托书、介绍信原件、身份证复印件以供甲方备案；并为所派遣的人员购买相应的社会保险或商业保险，乙方人员在甲方范围内发生的一切事故与甲方无关，乙方对此承担全部责任。如乙方未按前述要求派员或未购买相应的保险，造成的一切后果由乙方负责，如甲方因此遭受损失，乙方应全额向甲方承担赔偿责任。</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9.5 合同标的货品在使用中因质量问题导致的火灾等意外损失及由此引起甲方或第三方的人身伤害和财产损失，由乙方承担因此而产生的一切费用及经济与法律责任。</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9.6 乙方接到甲方的报修通知后如需派员入场的，乙方需遵守甲方有关外来人员管理的相关制度以及提供加盖乙方公章的授权委托书原件以供甲方备案。否则，甲方有权拒绝在乙方维修单上签字或拒绝承认乙方维修结果。</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9.7 甲乙双方因合同标的的质量问题而发生争议，由甲方所在地质检部门进行质量鉴定。符合质量标准的，鉴定费用由甲方承担，不符合质量标准的，鉴定费用由乙方承担，且甲方不接受质量鉴定不合格的产品。</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9.8 技术服务：乙方应派员到甲方指定地点配合工作，并按甲方提供的合同执行进度要求提供技术服务。</w:t>
      </w:r>
      <w:r/>
    </w:p>
    <w:p>
      <w:pPr>
        <w:ind w:firstLine="482"/>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十、验收</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10.1 货物的检验、验收等按照以下原则执行：有国家标准的执行国家标准；无国家标准的执行行业标准；无行业标准的执行地方标准；无地方标准的执行企业标准。生产制造所需要的所有主材和辅助材料的质量、安全符合国家规定。</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10.2 甲方以竞争性磋商文件、成交供应商的响应文件、承诺、合同为依据，成立验收小组，负责对项目进行全面的验收。</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10.3 货物的验收包括：型号、规格、数量、外观质量是否完好，安装调试是否合格，所提供货物的装箱清单、用户手册、原厂保修卡、随机资料及配件、随机工具等是否齐全。乙方对质量问题负责包退、包换和包修，因此发生的费用由乙方自行负责。</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10.4 货物到达甲方指定地点，应提前通知甲方，由甲方根据有关清单进行验收。</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10.5 乙方应派有资格、有经验的人员负责安装、调试，须在合同规定的时间内完成安装、调试；在调试工作完成后，根据相关部门规定的验收方案，严格按照有关要求及标准，对整个项目进行验收；交付使用时要同时向甲方提供详细的技术文件、调试报告、安装记录。</w:t>
      </w:r>
      <w:r/>
    </w:p>
    <w:p>
      <w:pPr>
        <w:ind w:firstLine="482"/>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十一、货物包装、发运及运输</w:t>
      </w:r>
      <w:r/>
    </w:p>
    <w:p>
      <w:pPr>
        <w:pStyle w:val="741"/>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 乙方应在货物发运前对其进行满足运输距离、防潮、防震、防锈和防破损装卸等要求包装，以保证货物安全运达甲方指定地点。</w:t>
      </w:r>
      <w:r/>
    </w:p>
    <w:p>
      <w:pPr>
        <w:pStyle w:val="741"/>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 使用说明书、质量检验证明书、随配附件和工具以及清单一并附于货物内。</w:t>
      </w:r>
      <w:r/>
    </w:p>
    <w:p>
      <w:pPr>
        <w:pStyle w:val="741"/>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11.3 乙方在货物发运手续办理完毕后24小时内或货到甲方48小时前通知甲方，以准备接货。</w:t>
      </w:r>
      <w:r/>
    </w:p>
    <w:p>
      <w:pPr>
        <w:pStyle w:val="741"/>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11.4 货物在安装调试合格交付甲方前发生的风险均由乙方负责。</w:t>
      </w:r>
      <w:r/>
    </w:p>
    <w:p>
      <w:pPr>
        <w:pStyle w:val="741"/>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11.5 货物在规定的交付期限内由乙方送达甲方指定的地点视为交付，乙方同时需通知甲方货物已送达。</w:t>
      </w:r>
      <w:r/>
    </w:p>
    <w:p>
      <w:pPr>
        <w:ind w:firstLine="482"/>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十二、违约责任</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12.1 甲方无正当理由拒收货物的，甲方向乙方偿付拒收合同款总值的百分之五违约金。</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12.2 甲方无故逾期验收和办理合同款支付手续的，甲方应按逾期付款总额每日千分之五向乙方支付违约金。</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12.3 乙方逾期交付货物的，乙方应按逾期交货总额每日千分之五向甲方支付违约金，由甲方从待付合同款中扣除。逾期超过约定日期5个工作日不能交货的，甲方可解除本合同。乙方因逾期交货或因其他违约行为导致甲方解除合同的，乙方应向甲方支付合同总值5%的违约金，如造成甲方损失超过违约金的，超出部分由乙方继续承担赔偿责任。 </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12.4 乙方所交的货物品牌、数量、型号、规格、技术参数、质量不符合合同规定及磋商文件规定标准的，甲方有权拒收该货物，乙方愿意更换货物但逾期交货的，按乙方逾期交货处理。乙方拒绝更换货物的，甲方可单方面解除合同。</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12.5 在质保期内，乙方所供货物出现质量问题不能使用或严重影响使用效果的，由甲方对乙方提出索赔。</w:t>
      </w:r>
      <w:r/>
    </w:p>
    <w:p>
      <w:pPr>
        <w:ind w:firstLine="482"/>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十三、不可抗力事件处理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13.1 在合同有效期内，任何一方因不可抗力事件导致不能履行合同，则合同履行期可延长，其延长期与不可抗力影响期相同。</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13.2 不可抗力事件发生后，应立即通知对方，并寄送有关权威机构出具的证明。</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13.3 不可抗力事件延续120天以上，双方应通过友好协商，确定是否继续履行合同。</w:t>
      </w:r>
      <w:r/>
    </w:p>
    <w:p>
      <w:pPr>
        <w:ind w:firstLine="482"/>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十四、争议解决</w:t>
      </w:r>
      <w:r/>
    </w:p>
    <w:p>
      <w:pPr>
        <w:pStyle w:val="741"/>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14.1 双方在执行合同中所发生的一切争议，应通过协商解决。如协商不成，按下列第</w:t>
      </w:r>
      <w:r>
        <w:rPr>
          <w:rFonts w:hint="eastAsia" w:ascii="宋体" w:hAnsi="宋体" w:eastAsia="宋体" w:cs="宋体"/>
          <w:color w:val="auto"/>
          <w:sz w:val="24"/>
          <w:szCs w:val="24"/>
          <w:highlight w:val="none"/>
          <w:u w:val="single"/>
        </w:rPr>
        <w:t xml:space="preserve"> （2）</w:t>
      </w:r>
      <w:r>
        <w:rPr>
          <w:rFonts w:hint="eastAsia" w:ascii="宋体" w:hAnsi="宋体" w:eastAsia="宋体" w:cs="宋体"/>
          <w:color w:val="auto"/>
          <w:sz w:val="24"/>
          <w:szCs w:val="24"/>
          <w:highlight w:val="none"/>
        </w:rPr>
        <w:t xml:space="preserve">种方式解决：</w:t>
      </w:r>
      <w:r/>
    </w:p>
    <w:p>
      <w:pPr>
        <w:pStyle w:val="741"/>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（1）向连云港仲裁委员会申请仲裁；</w:t>
      </w:r>
      <w:r/>
    </w:p>
    <w:p>
      <w:pPr>
        <w:pStyle w:val="741"/>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（2）向合同签订地的法院起诉，合同签订地在此约定为</w:t>
      </w:r>
      <w:r>
        <w:rPr>
          <w:rFonts w:hint="eastAsia" w:ascii="宋体" w:hAnsi="宋体" w:eastAsia="宋体" w:cs="宋体"/>
          <w:color w:val="auto"/>
          <w:sz w:val="24"/>
          <w:szCs w:val="24"/>
          <w:highlight w:val="none"/>
          <w:u w:val="single"/>
        </w:rPr>
        <w:t xml:space="preserve">连云港市赣榆区</w:t>
      </w:r>
      <w:r>
        <w:rPr>
          <w:rFonts w:hint="eastAsia" w:ascii="宋体" w:hAnsi="宋体" w:eastAsia="宋体" w:cs="宋体"/>
          <w:color w:val="auto"/>
          <w:sz w:val="24"/>
          <w:szCs w:val="24"/>
          <w:highlight w:val="none"/>
        </w:rPr>
        <w:t xml:space="preserve">。</w:t>
      </w:r>
      <w:r/>
    </w:p>
    <w:p>
      <w:pPr>
        <w:pStyle w:val="741"/>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14.2 因一方违约引发诉讼的，违约方承担守约方因诉讼而产生的费用，包括但不限于诉讼费、保全费、律师代理费等一切实现债权费用。</w:t>
      </w:r>
      <w:r/>
    </w:p>
    <w:p>
      <w:pPr>
        <w:ind w:firstLine="482"/>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十五、合同生效及其它</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15.1 合同经双方法定代表人或授权委托代理人签字（或盖章）并加盖单位公章后生效。</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15.2 合同执行中涉及采购资金和采购内容修改或补充的，须经财政部门审批、备案，方可作为主合同不可分割的一部分。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15.3 下述合同附件为本合同不可分割的部分并与本合同具有同等效力：</w:t>
      </w:r>
      <w:r/>
    </w:p>
    <w:p>
      <w:pPr>
        <w:pStyle w:val="741"/>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（1）成交通知书；</w:t>
      </w:r>
      <w:r/>
    </w:p>
    <w:p>
      <w:pPr>
        <w:pStyle w:val="741"/>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（2）乙方成交的磋商文件；</w:t>
      </w:r>
      <w:r/>
    </w:p>
    <w:p>
      <w:pPr>
        <w:pStyle w:val="741"/>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（3）竞争性磋商文件；</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（4）乙方在磋商过程中所作的其它承诺、声明、书面澄清等。</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15.4 本合同未尽事宜，遵照《中华人民共和国民法典》有关条文执行。</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15.5 本合同正本一式陆份，具有同等法律效力，甲方、乙方各执贰份，财政监管部门、见证方各执壹份。</w:t>
      </w:r>
      <w:r/>
    </w:p>
    <w:p>
      <w:pPr>
        <w:pStyle w:val="737"/>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741"/>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甲方（公章）：                          乙方（公章）：                     </w:t>
      </w:r>
      <w:r/>
    </w:p>
    <w:p>
      <w:pPr>
        <w:pStyle w:val="741"/>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                                  地址：                     </w:t>
      </w:r>
      <w:r/>
    </w:p>
    <w:p>
      <w:pPr>
        <w:pStyle w:val="741"/>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                            法定代表人或               </w:t>
      </w:r>
      <w:r/>
    </w:p>
    <w:p>
      <w:pPr>
        <w:pStyle w:val="741"/>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委托代理人（签字或盖章）：              委托代理人（签字或盖章）：              </w:t>
      </w:r>
      <w:r/>
    </w:p>
    <w:p>
      <w:pPr>
        <w:pStyle w:val="741"/>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电话：                                  电话：                     </w:t>
      </w:r>
      <w:r/>
    </w:p>
    <w:p>
      <w:pPr>
        <w:pStyle w:val="741"/>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传真：                                  传真：                     </w:t>
      </w:r>
      <w:r/>
    </w:p>
    <w:p>
      <w:pPr>
        <w:pStyle w:val="741"/>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签订地点：连云港市赣榆区                签订日期：      年  月  日</w:t>
      </w:r>
      <w:r/>
    </w:p>
    <w:p>
      <w:pPr>
        <w:pStyle w:val="741"/>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见证方：                                见证时间：      年  月  日</w:t>
      </w:r>
      <w:bookmarkStart w:id="179" w:name="_Toc27955"/>
      <w:r/>
      <w:bookmarkStart w:id="180" w:name="_Toc3379"/>
      <w:r/>
      <w:r/>
    </w:p>
    <w:p>
      <w:pPr>
        <w:pStyle w:val="716"/>
        <w:keepNext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716"/>
        <w:jc w:val="both"/>
        <w:keepNext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bookmarkEnd w:id="177"/>
      <w:r/>
      <w:bookmarkEnd w:id="178"/>
      <w:r/>
      <w:bookmarkEnd w:id="179"/>
      <w:r/>
      <w:bookmarkEnd w:id="180"/>
      <w:r/>
      <w:r/>
    </w:p>
    <w:p>
      <w:pPr>
        <w:pStyle w:val="716"/>
        <w:numPr>
          <w:ilvl w:val="0"/>
          <w:numId w:val="5"/>
        </w:numPr>
        <w:keepNext w:val="0"/>
        <w:spacing w:line="360" w:lineRule="auto"/>
        <w:rPr>
          <w:rFonts w:hint="eastAsia" w:ascii="宋体" w:hAnsi="宋体" w:eastAsia="宋体" w:cs="宋体"/>
          <w:color w:val="auto"/>
          <w:highlight w:val="none"/>
        </w:rPr>
      </w:pPr>
      <w:r/>
      <w:bookmarkStart w:id="181" w:name="_Toc24319"/>
      <w:r/>
      <w:bookmarkStart w:id="182" w:name="_Toc23828480"/>
      <w:r/>
      <w:bookmarkStart w:id="183" w:name="_Toc26554097"/>
      <w:r/>
      <w:bookmarkStart w:id="184" w:name="_Toc61149622"/>
      <w:r>
        <w:rPr>
          <w:rFonts w:hint="eastAsia" w:ascii="宋体" w:hAnsi="宋体" w:eastAsia="宋体" w:cs="宋体"/>
          <w:color w:val="auto"/>
          <w:highlight w:val="none"/>
        </w:rPr>
        <w:t xml:space="preserve">采购需求</w:t>
      </w:r>
      <w:bookmarkEnd w:id="181"/>
      <w:r/>
      <w:r/>
    </w:p>
    <w:p>
      <w:pPr>
        <w:spacing w:line="360" w:lineRule="auto"/>
        <w:rPr>
          <w:rFonts w:hint="eastAsia" w:ascii="宋体" w:hAnsi="宋体" w:eastAsia="宋体" w:cs="宋体"/>
          <w:b/>
          <w:color w:val="auto"/>
          <w:sz w:val="32"/>
          <w:szCs w:val="32"/>
          <w:highlight w:val="none"/>
          <w:lang w:val="en-US" w:eastAsia="zh-CN"/>
        </w:rPr>
      </w:pPr>
      <w:r/>
      <w:bookmarkStart w:id="185" w:name="_Toc25773"/>
      <w:r/>
      <w:bookmarkStart w:id="186" w:name="_Toc465856615"/>
      <w:r>
        <w:rPr>
          <w:rFonts w:hint="eastAsia" w:ascii="宋体" w:hAnsi="宋体" w:cs="宋体"/>
          <w:b/>
          <w:color w:val="auto"/>
          <w:sz w:val="32"/>
          <w:szCs w:val="32"/>
          <w:highlight w:val="none"/>
          <w:lang w:val="en-US" w:eastAsia="zh-CN"/>
        </w:rPr>
        <w:t xml:space="preserve">分包一：</w:t>
      </w:r>
      <w:r/>
    </w:p>
    <w:p>
      <w:pPr>
        <w:ind w:firstLine="883"/>
        <w:spacing w:line="360" w:lineRule="auto"/>
        <w:rPr>
          <w:rFonts w:hint="eastAsia" w:ascii="宋体" w:hAnsi="宋体" w:eastAsia="宋体" w:cs="宋体"/>
          <w:b/>
          <w:color w:val="auto"/>
          <w:szCs w:val="21"/>
          <w:highlight w:val="none"/>
        </w:rPr>
      </w:pPr>
      <w:r>
        <w:rPr>
          <w:rFonts w:hint="eastAsia" w:ascii="宋体" w:hAnsi="宋体" w:eastAsia="宋体" w:cs="宋体"/>
          <w:b/>
          <w:color w:val="auto"/>
          <w:sz w:val="22"/>
          <w:szCs w:val="22"/>
          <w:highlight w:val="none"/>
        </w:rPr>
        <w:t xml:space="preserve">说明：</w:t>
      </w:r>
      <w:r>
        <w:rPr>
          <w:rFonts w:hint="eastAsia" w:ascii="宋体" w:hAnsi="宋体" w:eastAsia="宋体" w:cs="宋体"/>
          <w:color w:val="auto"/>
          <w:sz w:val="22"/>
          <w:szCs w:val="22"/>
          <w:highlight w:val="none"/>
        </w:rPr>
        <w:t xml:space="preserve">本项目属性为</w:t>
      </w:r>
      <w:r>
        <w:rPr>
          <w:rFonts w:hint="eastAsia" w:ascii="宋体" w:hAnsi="宋体" w:eastAsia="宋体" w:cs="宋体"/>
          <w:b/>
          <w:bCs/>
          <w:color w:val="auto"/>
          <w:sz w:val="22"/>
          <w:szCs w:val="22"/>
          <w:highlight w:val="none"/>
        </w:rPr>
        <w:t xml:space="preserve">货物</w:t>
      </w:r>
      <w:r>
        <w:rPr>
          <w:rFonts w:hint="eastAsia" w:ascii="宋体" w:hAnsi="宋体" w:eastAsia="宋体" w:cs="宋体"/>
          <w:color w:val="auto"/>
          <w:sz w:val="22"/>
          <w:szCs w:val="22"/>
          <w:highlight w:val="none"/>
        </w:rPr>
        <w:t xml:space="preserve">采购，采购标的对应的中小企业划分标准所属行业为</w:t>
      </w:r>
      <w:r>
        <w:rPr>
          <w:rFonts w:hint="eastAsia" w:ascii="宋体" w:hAnsi="宋体" w:eastAsia="宋体" w:cs="宋体"/>
          <w:b/>
          <w:bCs/>
          <w:color w:val="auto"/>
          <w:sz w:val="22"/>
          <w:szCs w:val="22"/>
          <w:highlight w:val="none"/>
        </w:rPr>
        <w:t xml:space="preserve">工业</w:t>
      </w:r>
      <w:r>
        <w:rPr>
          <w:rFonts w:hint="eastAsia" w:ascii="宋体" w:hAnsi="宋体" w:eastAsia="宋体" w:cs="宋体"/>
          <w:color w:val="auto"/>
          <w:sz w:val="22"/>
          <w:szCs w:val="22"/>
          <w:highlight w:val="none"/>
        </w:rPr>
        <w:t xml:space="preserve">。</w:t>
      </w:r>
      <w:r/>
    </w:p>
    <w:p>
      <w:pPr>
        <w:ind w:firstLine="793"/>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一、本项目需求中标注★号的部分为实质性要求和条件，供应商必须作出满足或者优于原要求和条件的响应，否则作无效响应处理。</w:t>
      </w:r>
      <w:r/>
    </w:p>
    <w:p>
      <w:pPr>
        <w:pStyle w:val="734"/>
        <w:ind w:firstLine="200"/>
        <w:spacing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二</w:t>
      </w:r>
      <w:r>
        <w:rPr>
          <w:rFonts w:hint="eastAsia" w:ascii="宋体" w:hAnsi="宋体" w:eastAsia="宋体" w:cs="宋体"/>
          <w:b/>
          <w:bCs/>
          <w:color w:val="auto"/>
          <w:sz w:val="24"/>
          <w:szCs w:val="24"/>
          <w:highlight w:val="none"/>
        </w:rPr>
        <w:t xml:space="preserve">、采购清单</w:t>
      </w:r>
      <w:r/>
    </w:p>
    <w:tbl>
      <w:tblPr>
        <w:tblStyle w:val="726"/>
        <w:tblpPr w:horzAnchor="page" w:tblpXSpec="center" w:vertAnchor="text" w:tblpY="691" w:leftFromText="180" w:topFromText="0" w:rightFromText="180" w:bottomFromText="0"/>
        <w:tblW w:w="102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640"/>
        <w:gridCol w:w="1985"/>
        <w:gridCol w:w="1559"/>
        <w:gridCol w:w="2163"/>
        <w:gridCol w:w="1806"/>
        <w:gridCol w:w="1075"/>
      </w:tblGrid>
      <w:tr>
        <w:trPr>
          <w:jc w:val="center"/>
          <w:trHeight w:val="557"/>
        </w:trPr>
        <w:tc>
          <w:tcPr>
            <w:tcW w:w="1640" w:type="dxa"/>
            <w:vAlign w:val="center"/>
            <w:textDirection w:val="lrTb"/>
            <w:noWrap w:val="false"/>
          </w:tcPr>
          <w:p>
            <w:pPr>
              <w:jc w:val="center"/>
              <w:spacing w:line="360" w:lineRule="auto"/>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序号</w:t>
            </w:r>
            <w:r/>
          </w:p>
        </w:tc>
        <w:tc>
          <w:tcPr>
            <w:tcW w:w="1985"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采购产品</w:t>
            </w:r>
            <w:r/>
          </w:p>
        </w:tc>
        <w:tc>
          <w:tcPr>
            <w:tcW w:w="1559" w:type="dxa"/>
            <w:vAlign w:val="center"/>
            <w:textDirection w:val="lrTb"/>
            <w:noWrap w:val="false"/>
          </w:tcPr>
          <w:p>
            <w:pPr>
              <w:ind w:firstLine="21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计量单位</w:t>
            </w:r>
            <w:r/>
          </w:p>
        </w:tc>
        <w:tc>
          <w:tcPr>
            <w:tcW w:w="2163"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最高单价限价（元）</w:t>
            </w:r>
            <w:r/>
          </w:p>
        </w:tc>
        <w:tc>
          <w:tcPr>
            <w:tcW w:w="1806"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是否进口产品</w:t>
            </w:r>
            <w:r/>
          </w:p>
        </w:tc>
        <w:tc>
          <w:tcPr>
            <w:tcW w:w="1075"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备注</w:t>
            </w:r>
            <w:r/>
          </w:p>
        </w:tc>
      </w:tr>
      <w:tr>
        <w:trPr>
          <w:jc w:val="center"/>
          <w:trHeight w:val="732" w:hRule="exact"/>
        </w:trPr>
        <w:tc>
          <w:tcPr>
            <w:tcW w:w="1640" w:type="dxa"/>
            <w:vAlign w:val="center"/>
            <w:textDirection w:val="lrTb"/>
            <w:noWrap w:val="false"/>
          </w:tcPr>
          <w:p>
            <w:pPr>
              <w:jc w:val="center"/>
              <w:spacing w:line="360" w:lineRule="auto"/>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val="en-US" w:eastAsia="zh-CN"/>
              </w:rPr>
              <w:t xml:space="preserve">1</w:t>
            </w:r>
            <w:r/>
          </w:p>
        </w:tc>
        <w:tc>
          <w:tcPr>
            <w:tcW w:w="1985"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高强度加厚地膜</w:t>
            </w:r>
            <w:r/>
          </w:p>
        </w:tc>
        <w:tc>
          <w:tcPr>
            <w:tcW w:w="1559"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吨</w:t>
            </w:r>
            <w:r/>
          </w:p>
        </w:tc>
        <w:tc>
          <w:tcPr>
            <w:tcW w:w="2163" w:type="dxa"/>
            <w:vAlign w:val="center"/>
            <w:textDirection w:val="lrTb"/>
            <w:noWrap w:val="false"/>
          </w:tcPr>
          <w:p>
            <w:pPr>
              <w:jc w:val="center"/>
              <w:spacing w:line="360" w:lineRule="auto"/>
              <w:widowControl/>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rPr>
              <w:t xml:space="preserve">1</w:t>
            </w:r>
            <w:r>
              <w:rPr>
                <w:rFonts w:hint="eastAsia" w:ascii="宋体" w:hAnsi="宋体" w:cs="宋体"/>
                <w:color w:val="auto"/>
                <w:szCs w:val="21"/>
                <w:highlight w:val="none"/>
                <w:lang w:val="en-US" w:eastAsia="zh-CN"/>
              </w:rPr>
              <w:t xml:space="preserve">30</w:t>
            </w:r>
            <w:r>
              <w:rPr>
                <w:rFonts w:hint="eastAsia" w:ascii="宋体" w:hAnsi="宋体" w:eastAsia="宋体" w:cs="宋体"/>
                <w:color w:val="auto"/>
                <w:szCs w:val="21"/>
                <w:highlight w:val="none"/>
              </w:rPr>
              <w:t xml:space="preserve">00</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00</w:t>
            </w:r>
            <w:r/>
          </w:p>
        </w:tc>
        <w:tc>
          <w:tcPr>
            <w:tcW w:w="1806"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否</w:t>
            </w:r>
            <w:r/>
          </w:p>
        </w:tc>
        <w:tc>
          <w:tcPr>
            <w:tcW w:w="1075"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bl>
    <w:p>
      <w:pPr>
        <w:ind w:firstLine="420"/>
        <w:jc w:val="left"/>
        <w:spacing w:line="360" w:lineRule="auto"/>
        <w:rPr>
          <w:rFonts w:hint="eastAsia" w:ascii="宋体" w:hAnsi="宋体" w:eastAsia="宋体" w:cs="宋体"/>
          <w:bCs/>
          <w:color w:val="auto"/>
          <w:szCs w:val="21"/>
          <w:highlight w:val="none"/>
        </w:rPr>
      </w:pPr>
      <w:r>
        <w:rPr>
          <w:rFonts w:hint="eastAsia" w:ascii="宋体" w:hAnsi="宋体" w:eastAsia="宋体" w:cs="宋体"/>
          <w:color w:val="auto"/>
          <w:szCs w:val="21"/>
          <w:highlight w:val="none"/>
        </w:rPr>
        <w:t xml:space="preserve">★</w:t>
      </w:r>
      <w:r>
        <w:rPr>
          <w:rFonts w:hint="eastAsia" w:ascii="宋体" w:hAnsi="宋体" w:eastAsia="宋体" w:cs="宋体"/>
          <w:bCs/>
          <w:color w:val="auto"/>
          <w:szCs w:val="21"/>
          <w:highlight w:val="none"/>
        </w:rPr>
        <w:t xml:space="preserve">本项目采用</w:t>
      </w:r>
      <w:r>
        <w:rPr>
          <w:rFonts w:hint="eastAsia" w:ascii="宋体" w:hAnsi="宋体" w:eastAsia="宋体" w:cs="宋体"/>
          <w:b/>
          <w:color w:val="auto"/>
          <w:szCs w:val="21"/>
          <w:highlight w:val="none"/>
          <w:u w:val="single"/>
        </w:rPr>
        <w:t xml:space="preserve">单价报价</w:t>
      </w:r>
      <w:r>
        <w:rPr>
          <w:rFonts w:hint="eastAsia" w:ascii="宋体" w:hAnsi="宋体" w:eastAsia="宋体" w:cs="宋体"/>
          <w:bCs/>
          <w:color w:val="auto"/>
          <w:szCs w:val="21"/>
          <w:highlight w:val="none"/>
        </w:rPr>
        <w:t xml:space="preserve">方式，投标报价高于限价(单价)的投价文件视为无效投价文件。</w:t>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本项目供货数量以最终实际需求数量为准。</w:t>
      </w:r>
      <w:r/>
    </w:p>
    <w:p>
      <w:pPr>
        <w:pStyle w:val="734"/>
        <w:ind w:firstLine="422"/>
        <w:spacing w:after="0"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三、产品技术指标和要求</w:t>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rPr>
          <w:rFonts w:hint="eastAsia" w:ascii="宋体" w:hAnsi="宋体" w:eastAsia="宋体" w:cs="宋体"/>
          <w:b/>
          <w:color w:val="auto"/>
          <w:sz w:val="24"/>
          <w:highlight w:val="none"/>
        </w:rPr>
        <w:t xml:space="preserve">采购清单及技术参数要求</w:t>
      </w:r>
      <w:r/>
    </w:p>
    <w:tbl>
      <w:tblPr>
        <w:tblStyle w:val="1009"/>
        <w:tblW w:w="10326" w:type="dxa"/>
        <w:tblInd w:w="-23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2250"/>
        <w:gridCol w:w="6653"/>
        <w:gridCol w:w="1423"/>
      </w:tblGrid>
      <w:tr>
        <w:trPr>
          <w:trHeight w:val="526"/>
        </w:trPr>
        <w:tc>
          <w:tcPr>
            <w:tcW w:w="2250"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名称</w:t>
            </w:r>
            <w:r/>
          </w:p>
        </w:tc>
        <w:tc>
          <w:tcPr>
            <w:tcW w:w="6653"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sz w:val="22"/>
                <w:szCs w:val="22"/>
                <w:highlight w:val="none"/>
              </w:rPr>
              <w:t xml:space="preserve">技术规格</w:t>
            </w:r>
            <w:r/>
          </w:p>
        </w:tc>
        <w:tc>
          <w:tcPr>
            <w:tcW w:w="1423" w:type="dxa"/>
            <w:vAlign w:val="center"/>
            <w:textDirection w:val="lrTb"/>
            <w:noWrap w:val="false"/>
          </w:tcPr>
          <w:p>
            <w:pPr>
              <w:jc w:val="center"/>
              <w:rPr>
                <w:color w:val="auto"/>
                <w:highlight w:val="none"/>
              </w:rPr>
            </w:pPr>
            <w:r>
              <w:rPr>
                <w:color w:val="auto"/>
                <w:highlight w:val="none"/>
              </w:rPr>
              <w:t xml:space="preserve">最高限价 </w:t>
            </w:r>
            <w:r/>
          </w:p>
          <w:p>
            <w:pPr>
              <w:jc w:val="center"/>
              <w:rPr>
                <w:color w:val="auto"/>
                <w:highlight w:val="none"/>
              </w:rPr>
            </w:pPr>
            <w:r>
              <w:rPr>
                <w:color w:val="auto"/>
                <w:highlight w:val="none"/>
              </w:rPr>
              <w:t xml:space="preserve"> (元/吨)</w:t>
            </w:r>
            <w:r/>
          </w:p>
        </w:tc>
      </w:tr>
      <w:tr>
        <w:trPr>
          <w:trHeight w:val="1259"/>
        </w:trPr>
        <w:tc>
          <w:tcPr>
            <w:tcW w:w="2250" w:type="dxa"/>
            <w:vAlign w:val="center"/>
            <w:vMerge w:val="restart"/>
            <w:textDirection w:val="lrTb"/>
            <w:noWrap w:val="false"/>
          </w:tcPr>
          <w:p>
            <w:pPr>
              <w:jc w:val="center"/>
              <w:rPr>
                <w:rFonts w:hint="eastAsia" w:ascii="宋体" w:hAnsi="宋体" w:eastAsia="宋体" w:cs="宋体"/>
                <w:color w:val="auto"/>
                <w:highlight w:val="none"/>
                <w:lang w:val="en-US" w:eastAsia="zh-CN"/>
              </w:rPr>
            </w:pPr>
            <w:r>
              <w:rPr>
                <w:rFonts w:hint="eastAsia"/>
                <w:b/>
                <w:bCs/>
                <w:color w:val="000000" w:themeColor="text1"/>
                <w14:textFill>
                  <w14:solidFill>
                    <w14:schemeClr w14:val="tx1"/>
                  </w14:solidFill>
                </w14:textFill>
              </w:rPr>
              <w:t xml:space="preserve">加厚高强度地膜</w:t>
            </w:r>
            <w:r/>
          </w:p>
        </w:tc>
        <w:tc>
          <w:tcPr>
            <w:tcW w:w="6653" w:type="dxa"/>
            <w:vAlign w:val="center"/>
            <w:textDirection w:val="lrTb"/>
            <w:noWrap w:val="false"/>
          </w:tcPr>
          <w:p>
            <w:pPr>
              <w:jc w:val="left"/>
              <w:rPr>
                <w:rFonts w:hint="eastAsia"/>
                <w:color w:val="000000" w:themeColor="text1"/>
                <w14:textFill>
                  <w14:solidFill>
                    <w14:schemeClr w14:val="tx1"/>
                  </w14:solidFill>
                </w14:textFill>
              </w:rPr>
            </w:pPr>
            <w:r>
              <w:rPr>
                <w:rFonts w:asciiTheme="minorEastAsia" w:hAnsiTheme="minorEastAsia" w:eastAsiaTheme="minorEastAsia" w:cstheme="majorBidi"/>
                <w:b/>
                <w:bCs/>
                <w:color w:val="000000"/>
                <w:szCs w:val="28"/>
              </w:rPr>
              <w:t xml:space="preserve">执行标准</w:t>
            </w:r>
            <w:r>
              <w:rPr>
                <w:rFonts w:hint="eastAsia" w:asciiTheme="minorEastAsia" w:hAnsiTheme="minorEastAsia" w:eastAsiaTheme="minorEastAsia" w:cstheme="majorBidi"/>
                <w:b/>
                <w:bCs/>
                <w:color w:val="000000"/>
                <w:szCs w:val="28"/>
                <w:lang w:eastAsia="zh-CN"/>
              </w:rPr>
              <w:t xml:space="preserve">：</w:t>
            </w:r>
            <w:r>
              <w:rPr>
                <w:rFonts w:hint="eastAsia"/>
                <w:color w:val="000000" w:themeColor="text1"/>
                <w14:textFill>
                  <w14:solidFill>
                    <w14:schemeClr w14:val="tx1"/>
                  </w14:solidFill>
                </w14:textFill>
              </w:rPr>
              <w:t xml:space="preserve">加厚高强度地膜覆盖使用时间和力学性能指标应不低于《聚乙烯吹塑农用地面覆盖薄膜 》(GB13735-2017)中I类耐老化地膜有关要求，且使用后最大拉伸负荷、断裂标称应变等力学性能指标不小于初始值的50%</w:t>
            </w:r>
            <w:r>
              <w:rPr>
                <w:rFonts w:hint="eastAsia"/>
                <w:color w:val="000000" w:themeColor="text1"/>
                <w:lang w:val="en-US" w:eastAsia="zh-CN"/>
                <w14:textFill>
                  <w14:solidFill>
                    <w14:schemeClr w14:val="tx1"/>
                  </w14:solidFill>
                </w14:textFill>
              </w:rPr>
              <w:t xml:space="preserve">。</w:t>
            </w:r>
            <w:r/>
          </w:p>
        </w:tc>
        <w:tc>
          <w:tcPr>
            <w:tcW w:w="1423" w:type="dxa"/>
            <w:vAlign w:val="center"/>
            <w:vMerge w:val="restart"/>
            <w:textDirection w:val="lrTb"/>
            <w:noWrap w:val="false"/>
          </w:tcPr>
          <w:p>
            <w:pPr>
              <w:jc w:val="center"/>
              <w:rPr>
                <w:rFonts w:hint="default" w:eastAsia="宋体"/>
                <w:color w:val="auto"/>
                <w:highlight w:val="none"/>
                <w:lang w:val="en-US" w:eastAsia="zh-CN"/>
              </w:rPr>
            </w:pPr>
            <w:r>
              <w:rPr>
                <w:rFonts w:hint="eastAsia" w:eastAsia="宋体"/>
                <w:lang w:val="en-US" w:eastAsia="zh-CN"/>
              </w:rPr>
              <w:t xml:space="preserve">1</w:t>
            </w:r>
            <w:r>
              <w:rPr>
                <w:rFonts w:hint="eastAsia"/>
                <w:lang w:val="en-US" w:eastAsia="zh-CN"/>
              </w:rPr>
              <w:t xml:space="preserve">3</w:t>
            </w:r>
            <w:r>
              <w:rPr>
                <w:rFonts w:hint="eastAsia" w:eastAsia="宋体"/>
                <w:lang w:val="en-US" w:eastAsia="zh-CN"/>
              </w:rPr>
              <w:t xml:space="preserve">000.00</w:t>
            </w:r>
            <w:r/>
          </w:p>
        </w:tc>
      </w:tr>
      <w:tr>
        <w:trPr>
          <w:trHeight w:val="1784"/>
        </w:trPr>
        <w:tc>
          <w:tcPr>
            <w:tcW w:w="2250" w:type="dxa"/>
            <w:vAlign w:val="center"/>
            <w:vMerge w:val="continue"/>
            <w:textDirection w:val="lrTb"/>
            <w:noWrap w:val="false"/>
          </w:tcPr>
          <w:p>
            <w:pPr>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tc>
        <w:tc>
          <w:tcPr>
            <w:tcW w:w="6653" w:type="dxa"/>
            <w:vAlign w:val="center"/>
            <w:textDirection w:val="lrTb"/>
            <w:noWrap w:val="false"/>
          </w:tcPr>
          <w:p>
            <w:pPr>
              <w:jc w:val="left"/>
              <w:rPr>
                <w:rFonts w:hint="eastAsia" w:ascii="宋体" w:hAnsi="宋体" w:eastAsia="宋体" w:cs="宋体"/>
                <w:color w:val="auto"/>
                <w:szCs w:val="28"/>
                <w:highlight w:val="none"/>
              </w:rPr>
            </w:pPr>
            <w:r>
              <w:rPr>
                <w:rFonts w:asciiTheme="minorEastAsia" w:hAnsiTheme="minorEastAsia" w:eastAsiaTheme="minorEastAsia" w:cstheme="majorBidi"/>
                <w:b/>
                <w:bCs/>
                <w:color w:val="000000"/>
                <w:szCs w:val="28"/>
              </w:rPr>
              <w:t xml:space="preserve">主要原料</w:t>
            </w:r>
            <w:r>
              <w:rPr>
                <w:rFonts w:hint="eastAsia" w:asciiTheme="minorEastAsia" w:hAnsiTheme="minorEastAsia" w:eastAsiaTheme="minorEastAsia" w:cstheme="majorBidi"/>
                <w:b/>
                <w:bCs/>
                <w:color w:val="000000"/>
                <w:szCs w:val="28"/>
                <w:lang w:eastAsia="zh-CN"/>
              </w:rPr>
              <w:t xml:space="preserve">：</w:t>
            </w:r>
            <w:r>
              <w:rPr>
                <w:rFonts w:hint="eastAsia"/>
                <w:color w:val="000000" w:themeColor="text1"/>
                <w14:textFill>
                  <w14:solidFill>
                    <w14:schemeClr w14:val="tx1"/>
                  </w14:solidFill>
                </w14:textFill>
              </w:rPr>
              <w:t xml:space="preserve">主要成分包括聚乙烯、增塑剂和抗氧化剂‌。聚乙烯（PE）是地膜的基础材质，具有优良的耐化学腐蚀、耐低温、电绝缘性等特点‌。增塑剂的添加提高了地膜的柔韧性和延展性，使其更加柔软、易于拉伸，从而增强地膜的耐用性和抗拉伸性能。抗氧化剂的加入可以延缓聚乙烯材料的氧化过程，延长地膜的使用寿命</w:t>
            </w:r>
            <w:r>
              <w:rPr>
                <w:rFonts w:hint="eastAsia"/>
                <w:color w:val="000000" w:themeColor="text1"/>
                <w:lang w:eastAsia="zh-CN"/>
                <w14:textFill>
                  <w14:solidFill>
                    <w14:schemeClr w14:val="tx1"/>
                  </w14:solidFill>
                </w14:textFill>
              </w:rPr>
              <w:t xml:space="preserve">。</w:t>
            </w:r>
            <w:r>
              <w:rPr>
                <w:rFonts w:hint="eastAsia"/>
                <w:color w:val="000000" w:themeColor="text1"/>
                <w14:textFill>
                  <w14:solidFill>
                    <w14:schemeClr w14:val="tx1"/>
                  </w14:solidFill>
                </w14:textFill>
              </w:rPr>
              <w:t xml:space="preserve">产品原材料中不</w:t>
            </w:r>
            <w:r>
              <w:rPr>
                <w:rFonts w:hint="eastAsia"/>
                <w:color w:val="000000" w:themeColor="text1"/>
                <w:lang w:val="en-US" w:eastAsia="zh-CN"/>
                <w14:textFill>
                  <w14:solidFill>
                    <w14:schemeClr w14:val="tx1"/>
                  </w14:solidFill>
                </w14:textFill>
              </w:rPr>
              <w:t xml:space="preserve">再</w:t>
            </w:r>
            <w:r>
              <w:rPr>
                <w:rFonts w:hint="eastAsia"/>
                <w:color w:val="000000" w:themeColor="text1"/>
                <w14:textFill>
                  <w14:solidFill>
                    <w14:schemeClr w14:val="tx1"/>
                  </w14:solidFill>
                </w14:textFill>
              </w:rPr>
              <w:t xml:space="preserve">加入再生料及国家明确禁止使用、不利于作物生长、有害土壤的助剂</w:t>
            </w:r>
            <w:r>
              <w:rPr>
                <w:rFonts w:hint="eastAsia"/>
                <w:color w:val="000000" w:themeColor="text1"/>
                <w:lang w:eastAsia="zh-CN"/>
                <w14:textFill>
                  <w14:solidFill>
                    <w14:schemeClr w14:val="tx1"/>
                  </w14:solidFill>
                </w14:textFill>
              </w:rPr>
              <w:t xml:space="preserve">。</w:t>
            </w:r>
            <w:r/>
          </w:p>
        </w:tc>
        <w:tc>
          <w:tcPr>
            <w:tcW w:w="1423" w:type="dxa"/>
            <w:vAlign w:val="center"/>
            <w:vMerge w:val="continue"/>
            <w:textDirection w:val="lrTb"/>
            <w:noWrap w:val="false"/>
          </w:tcPr>
          <w:p>
            <w:pPr>
              <w:jc w:val="center"/>
              <w:rPr>
                <w:rFonts w:hint="default"/>
                <w:color w:val="auto"/>
                <w:highlight w:val="none"/>
                <w:lang w:val="en-US"/>
              </w:rPr>
            </w:pPr>
            <w:r>
              <w:rPr>
                <w:rFonts w:hint="default"/>
                <w:color w:val="auto"/>
                <w:highlight w:val="none"/>
                <w:lang w:val="en-US"/>
              </w:rPr>
            </w:r>
            <w:r/>
          </w:p>
        </w:tc>
      </w:tr>
      <w:tr>
        <w:trPr>
          <w:trHeight w:val="488"/>
        </w:trPr>
        <w:tc>
          <w:tcPr>
            <w:tcW w:w="2250" w:type="dxa"/>
            <w:vAlign w:val="center"/>
            <w:vMerge w:val="continue"/>
            <w:textDirection w:val="lrTb"/>
            <w:noWrap w:val="false"/>
          </w:tcPr>
          <w:p>
            <w:pPr>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tc>
        <w:tc>
          <w:tcPr>
            <w:tcW w:w="6653" w:type="dxa"/>
            <w:vAlign w:val="center"/>
            <w:textDirection w:val="lrTb"/>
            <w:noWrap w:val="false"/>
          </w:tcPr>
          <w:p>
            <w:pPr>
              <w:jc w:val="both"/>
              <w:rPr>
                <w:rFonts w:hint="eastAsia" w:ascii="宋体" w:hAnsi="宋体" w:eastAsia="宋体" w:cs="宋体"/>
                <w:color w:val="auto"/>
                <w:szCs w:val="28"/>
                <w:highlight w:val="none"/>
              </w:rPr>
            </w:pPr>
            <w:r>
              <w:rPr>
                <w:rFonts w:asciiTheme="minorEastAsia" w:hAnsiTheme="minorEastAsia" w:eastAsiaTheme="minorEastAsia" w:cstheme="majorBidi"/>
                <w:b/>
                <w:bCs/>
                <w:color w:val="000000"/>
                <w:szCs w:val="28"/>
              </w:rPr>
              <w:t xml:space="preserve">有效</w:t>
            </w:r>
            <w:r>
              <w:rPr>
                <w:rFonts w:hint="eastAsia" w:asciiTheme="minorEastAsia" w:hAnsiTheme="minorEastAsia" w:eastAsiaTheme="minorEastAsia" w:cstheme="majorBidi"/>
                <w:b/>
                <w:bCs/>
                <w:color w:val="000000"/>
                <w:szCs w:val="28"/>
                <w:lang w:val="en-US" w:eastAsia="zh-CN"/>
              </w:rPr>
              <w:t xml:space="preserve">使用</w:t>
            </w:r>
            <w:r>
              <w:rPr>
                <w:rFonts w:asciiTheme="minorEastAsia" w:hAnsiTheme="minorEastAsia" w:eastAsiaTheme="minorEastAsia" w:cstheme="majorBidi"/>
                <w:b/>
                <w:bCs/>
                <w:color w:val="000000"/>
                <w:szCs w:val="28"/>
              </w:rPr>
              <w:t xml:space="preserve">时间</w:t>
            </w:r>
            <w:r>
              <w:rPr>
                <w:rFonts w:hint="eastAsia" w:asciiTheme="minorEastAsia" w:hAnsiTheme="minorEastAsia" w:eastAsiaTheme="minorEastAsia" w:cstheme="majorBidi"/>
                <w:b/>
                <w:bCs/>
                <w:color w:val="000000"/>
                <w:szCs w:val="28"/>
                <w:lang w:eastAsia="zh-CN"/>
              </w:rPr>
              <w:t xml:space="preserve">：</w:t>
            </w:r>
            <w:r>
              <w:rPr>
                <w:rFonts w:hint="eastAsia" w:cs="Times New Roman" w:asciiTheme="minorEastAsia" w:hAnsiTheme="minorEastAsia" w:eastAsiaTheme="minorEastAsia"/>
                <w:color w:val="auto"/>
                <w:szCs w:val="28"/>
              </w:rPr>
              <w:t xml:space="preserve">有效使用时间≥</w:t>
            </w:r>
            <w:r>
              <w:rPr>
                <w:rFonts w:hint="eastAsia" w:cs="Times New Roman" w:asciiTheme="minorEastAsia" w:hAnsiTheme="minorEastAsia"/>
                <w:color w:val="auto"/>
                <w:szCs w:val="28"/>
                <w:lang w:val="en-US" w:eastAsia="zh-CN"/>
              </w:rPr>
              <w:t xml:space="preserve">180天</w:t>
            </w:r>
            <w:r/>
          </w:p>
        </w:tc>
        <w:tc>
          <w:tcPr>
            <w:tcW w:w="1423" w:type="dxa"/>
            <w:vAlign w:val="center"/>
            <w:vMerge w:val="continue"/>
            <w:textDirection w:val="lrTb"/>
            <w:noWrap w:val="false"/>
          </w:tcPr>
          <w:p>
            <w:pPr>
              <w:jc w:val="center"/>
              <w:rPr>
                <w:rFonts w:hint="default"/>
                <w:color w:val="auto"/>
                <w:highlight w:val="none"/>
                <w:lang w:val="en-US"/>
              </w:rPr>
            </w:pPr>
            <w:r>
              <w:rPr>
                <w:rFonts w:hint="default"/>
                <w:color w:val="auto"/>
                <w:highlight w:val="none"/>
                <w:lang w:val="en-US"/>
              </w:rPr>
            </w:r>
            <w:r/>
          </w:p>
        </w:tc>
      </w:tr>
      <w:tr>
        <w:trPr>
          <w:trHeight w:val="309"/>
        </w:trPr>
        <w:tc>
          <w:tcPr>
            <w:tcW w:w="2250" w:type="dxa"/>
            <w:vAlign w:val="center"/>
            <w:vMerge w:val="continue"/>
            <w:textDirection w:val="lrTb"/>
            <w:noWrap w:val="false"/>
          </w:tcPr>
          <w:p>
            <w:pPr>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tc>
        <w:tc>
          <w:tcPr>
            <w:tcW w:w="6653" w:type="dxa"/>
            <w:vAlign w:val="center"/>
            <w:textDirection w:val="lrTb"/>
            <w:noWrap w:val="false"/>
          </w:tcPr>
          <w:p>
            <w:pPr>
              <w:ind w:right="42"/>
              <w:widowControl/>
              <w:rPr>
                <w:rFonts w:hint="default" w:cs="Times New Roman" w:asciiTheme="minorEastAsia" w:hAnsiTheme="minorEastAsia"/>
                <w:color w:val="auto"/>
                <w:szCs w:val="28"/>
                <w:lang w:val="en-US" w:eastAsia="zh-CN"/>
              </w:rPr>
            </w:pPr>
            <w:r>
              <w:rPr>
                <w:rFonts w:asciiTheme="minorEastAsia" w:hAnsiTheme="minorEastAsia" w:eastAsiaTheme="minorEastAsia" w:cstheme="majorBidi"/>
                <w:b/>
                <w:bCs/>
                <w:color w:val="000000"/>
                <w:szCs w:val="28"/>
              </w:rPr>
              <w:t xml:space="preserve">地膜规格</w:t>
            </w:r>
            <w:r>
              <w:rPr>
                <w:rFonts w:hint="eastAsia" w:asciiTheme="minorEastAsia" w:hAnsiTheme="minorEastAsia" w:eastAsiaTheme="minorEastAsia" w:cstheme="majorBidi"/>
                <w:b/>
                <w:bCs/>
                <w:color w:val="000000"/>
                <w:szCs w:val="28"/>
                <w:lang w:eastAsia="zh-CN"/>
              </w:rPr>
              <w:t xml:space="preserve">：</w:t>
            </w:r>
            <w:r>
              <w:rPr>
                <w:rFonts w:hint="eastAsia" w:asciiTheme="minorEastAsia" w:hAnsiTheme="minorEastAsia" w:eastAsiaTheme="minorEastAsia" w:cstheme="majorBidi"/>
                <w:b/>
                <w:bCs/>
                <w:color w:val="000000"/>
                <w:szCs w:val="28"/>
                <w:lang w:val="en-US" w:eastAsia="zh-CN"/>
              </w:rPr>
              <w:t xml:space="preserve">   </w:t>
            </w:r>
            <w:r>
              <w:rPr>
                <w:rFonts w:hint="eastAsia" w:cs="Times New Roman" w:asciiTheme="minorEastAsia" w:hAnsiTheme="minorEastAsia"/>
                <w:color w:val="auto"/>
                <w:szCs w:val="28"/>
                <w:lang w:val="en-US" w:eastAsia="zh-CN"/>
              </w:rPr>
              <w:t xml:space="preserve">宽度：90~120 厘米(具体根据甲方实际需求）</w:t>
            </w:r>
            <w:r/>
          </w:p>
          <w:p>
            <w:pPr>
              <w:ind w:right="42" w:firstLine="1260"/>
              <w:widowControl/>
              <w:rPr>
                <w:rFonts w:hint="default" w:cs="Times New Roman" w:asciiTheme="minorEastAsia" w:hAnsiTheme="minorEastAsia" w:eastAsiaTheme="minorEastAsia"/>
                <w:color w:val="auto"/>
                <w:szCs w:val="28"/>
                <w:lang w:val="en-US" w:eastAsia="zh-CN"/>
              </w:rPr>
            </w:pPr>
            <w:r>
              <w:rPr>
                <w:rFonts w:hint="eastAsia" w:cs="Times New Roman" w:asciiTheme="minorEastAsia" w:hAnsiTheme="minorEastAsia" w:eastAsiaTheme="minorEastAsia"/>
                <w:color w:val="auto"/>
                <w:szCs w:val="28"/>
              </w:rPr>
              <w:t xml:space="preserve">厚度:</w:t>
            </w:r>
            <w:r>
              <w:rPr>
                <w:rFonts w:hint="eastAsia" w:cs="Times New Roman" w:asciiTheme="minorEastAsia" w:hAnsiTheme="minorEastAsia"/>
                <w:color w:val="auto"/>
                <w:szCs w:val="28"/>
                <w:lang w:val="en-US" w:eastAsia="zh-CN"/>
              </w:rPr>
              <w:t xml:space="preserve">≥ 0.015mm</w:t>
            </w:r>
            <w:r/>
          </w:p>
          <w:p>
            <w:pPr>
              <w:ind w:right="42" w:firstLine="1260"/>
              <w:widowControl/>
              <w:rPr>
                <w:rFonts w:hint="default" w:cs="Times New Roman" w:asciiTheme="minorEastAsia" w:hAnsiTheme="minorEastAsia"/>
                <w:color w:val="auto"/>
                <w:szCs w:val="28"/>
                <w:lang w:val="en-US" w:eastAsia="zh-CN"/>
              </w:rPr>
            </w:pPr>
            <w:r>
              <w:rPr>
                <w:rFonts w:hint="eastAsia" w:cs="Times New Roman" w:asciiTheme="minorEastAsia" w:hAnsiTheme="minorEastAsia"/>
                <w:color w:val="auto"/>
                <w:szCs w:val="28"/>
                <w:lang w:val="en-US" w:eastAsia="zh-CN"/>
              </w:rPr>
              <w:t xml:space="preserve">每卷重量：10Kg/卷（自身净重，不含轴重、外包装等）</w:t>
            </w:r>
            <w:r/>
          </w:p>
          <w:p>
            <w:pPr>
              <w:ind w:firstLine="1680"/>
              <w:jc w:val="both"/>
              <w:rPr>
                <w:rFonts w:hint="default" w:ascii="宋体" w:hAnsi="宋体" w:eastAsia="宋体" w:cs="宋体"/>
                <w:color w:val="auto"/>
                <w:szCs w:val="28"/>
                <w:highlight w:val="none"/>
                <w:lang w:val="en-US"/>
              </w:rPr>
            </w:pPr>
            <w:r>
              <w:rPr>
                <w:rFonts w:hint="eastAsia" w:cs="Times New Roman" w:asciiTheme="minorEastAsia" w:hAnsiTheme="minorEastAsia"/>
                <w:color w:val="auto"/>
                <w:szCs w:val="28"/>
                <w:lang w:val="en-US" w:eastAsia="zh-CN"/>
              </w:rPr>
              <w:t xml:space="preserve">颜色：银灰色</w:t>
            </w:r>
            <w:r/>
          </w:p>
        </w:tc>
        <w:tc>
          <w:tcPr>
            <w:tcW w:w="1423" w:type="dxa"/>
            <w:vAlign w:val="center"/>
            <w:vMerge w:val="continue"/>
            <w:textDirection w:val="lrTb"/>
            <w:noWrap w:val="false"/>
          </w:tcPr>
          <w:p>
            <w:pPr>
              <w:jc w:val="center"/>
              <w:rPr>
                <w:rFonts w:hint="default"/>
                <w:color w:val="auto"/>
                <w:highlight w:val="none"/>
                <w:lang w:val="en-US"/>
              </w:rPr>
            </w:pPr>
            <w:r>
              <w:rPr>
                <w:rFonts w:hint="default"/>
                <w:color w:val="auto"/>
                <w:highlight w:val="none"/>
                <w:lang w:val="en-US"/>
              </w:rPr>
            </w:r>
            <w:r/>
          </w:p>
        </w:tc>
      </w:tr>
      <w:tr>
        <w:trPr>
          <w:trHeight w:val="90"/>
        </w:trPr>
        <w:tc>
          <w:tcPr>
            <w:tcW w:w="2250" w:type="dxa"/>
            <w:vAlign w:val="center"/>
            <w:vMerge w:val="continue"/>
            <w:textDirection w:val="lrTb"/>
            <w:noWrap w:val="false"/>
          </w:tcPr>
          <w:p>
            <w:pPr>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tc>
        <w:tc>
          <w:tcPr>
            <w:tcW w:w="6653" w:type="dxa"/>
            <w:vAlign w:val="center"/>
            <w:textDirection w:val="lrTb"/>
            <w:noWrap w:val="false"/>
          </w:tcPr>
          <w:p>
            <w:pPr>
              <w:jc w:val="left"/>
              <w:rPr>
                <w:rFonts w:hint="eastAsia" w:eastAsia="宋体"/>
                <w:color w:val="000000" w:themeColor="text1"/>
                <w:lang w:eastAsia="zh-CN"/>
                <w14:textFill>
                  <w14:solidFill>
                    <w14:schemeClr w14:val="tx1"/>
                  </w14:solidFill>
                </w14:textFill>
              </w:rPr>
            </w:pPr>
            <w:r>
              <w:rPr>
                <w:rFonts w:asciiTheme="minorEastAsia" w:hAnsiTheme="minorEastAsia" w:eastAsiaTheme="minorEastAsia" w:cstheme="majorBidi"/>
                <w:b/>
                <w:bCs/>
                <w:color w:val="000000"/>
                <w:szCs w:val="28"/>
              </w:rPr>
              <w:t xml:space="preserve">技术指标</w:t>
            </w:r>
            <w:r>
              <w:rPr>
                <w:rFonts w:hint="eastAsia" w:asciiTheme="minorEastAsia" w:hAnsiTheme="minorEastAsia" w:eastAsiaTheme="minorEastAsia" w:cstheme="majorBidi"/>
                <w:b/>
                <w:bCs/>
                <w:color w:val="000000"/>
                <w:szCs w:val="28"/>
                <w:lang w:eastAsia="zh-CN"/>
              </w:rPr>
              <w:t xml:space="preserve">：</w:t>
            </w:r>
            <w:r>
              <w:rPr>
                <w:rFonts w:hint="eastAsia"/>
                <w:color w:val="000000" w:themeColor="text1"/>
                <w14:textFill>
                  <w14:solidFill>
                    <w14:schemeClr w14:val="tx1"/>
                  </w14:solidFill>
                </w14:textFill>
              </w:rPr>
              <w:t xml:space="preserve">拉伸负荷(纵、横向)≥</w:t>
            </w:r>
            <w:r>
              <w:rPr>
                <w:rFonts w:hint="eastAsia"/>
                <w:color w:val="000000" w:themeColor="text1"/>
                <w:lang w:val="en-US" w:eastAsia="zh-CN"/>
                <w14:textFill>
                  <w14:solidFill>
                    <w14:schemeClr w14:val="tx1"/>
                  </w14:solidFill>
                </w14:textFill>
              </w:rPr>
              <w:t xml:space="preserve">1.6</w:t>
            </w:r>
            <w:r>
              <w:rPr>
                <w:rFonts w:hint="eastAsia"/>
                <w:color w:val="000000" w:themeColor="text1"/>
                <w14:textFill>
                  <w14:solidFill>
                    <w14:schemeClr w14:val="tx1"/>
                  </w14:solidFill>
                </w14:textFill>
              </w:rPr>
              <w:t xml:space="preserve">N</w:t>
            </w:r>
            <w:r>
              <w:rPr>
                <w:rFonts w:hint="eastAsia" w:eastAsia="宋体"/>
                <w:color w:val="000000" w:themeColor="text1"/>
                <w:lang w:eastAsia="zh-CN"/>
                <w14:textFill>
                  <w14:solidFill>
                    <w14:schemeClr w14:val="tx1"/>
                  </w14:solidFill>
                </w14:textFill>
              </w:rPr>
              <w:t xml:space="preserve">；</w:t>
            </w:r>
            <w:r/>
          </w:p>
          <w:p>
            <w:pPr>
              <w:ind w:firstLine="1050"/>
              <w:jc w:val="left"/>
              <w:rPr>
                <w:rFonts w:hint="eastAsia" w:eastAsia="宋体"/>
                <w:color w:val="000000" w:themeColor="text1"/>
                <w:lang w:eastAsia="zh-CN"/>
                <w14:textFill>
                  <w14:solidFill>
                    <w14:schemeClr w14:val="tx1"/>
                  </w14:solidFill>
                </w14:textFill>
              </w:rPr>
            </w:pPr>
            <w:r>
              <w:rPr>
                <w:rFonts w:hint="eastAsia"/>
                <w:color w:val="000000" w:themeColor="text1"/>
                <w14:textFill>
                  <w14:solidFill>
                    <w14:schemeClr w14:val="tx1"/>
                  </w14:solidFill>
                </w14:textFill>
              </w:rPr>
              <w:t xml:space="preserve">大断裂标称应变(纵、横向)≥</w:t>
            </w:r>
            <w:r>
              <w:rPr>
                <w:rFonts w:hint="eastAsia"/>
                <w:color w:val="000000" w:themeColor="text1"/>
                <w:lang w:val="en-US" w:eastAsia="zh-CN"/>
                <w14:textFill>
                  <w14:solidFill>
                    <w14:schemeClr w14:val="tx1"/>
                  </w14:solidFill>
                </w14:textFill>
              </w:rPr>
              <w:t xml:space="preserve">260</w:t>
            </w:r>
            <w:r>
              <w:rPr>
                <w:rFonts w:hint="eastAsia"/>
                <w:color w:val="000000" w:themeColor="text1"/>
                <w14:textFill>
                  <w14:solidFill>
                    <w14:schemeClr w14:val="tx1"/>
                  </w14:solidFill>
                </w14:textFill>
              </w:rPr>
              <w:t xml:space="preserve">%</w:t>
            </w:r>
            <w:r>
              <w:rPr>
                <w:rFonts w:hint="eastAsia" w:eastAsia="宋体"/>
                <w:color w:val="000000" w:themeColor="text1"/>
                <w:lang w:eastAsia="zh-CN"/>
                <w14:textFill>
                  <w14:solidFill>
                    <w14:schemeClr w14:val="tx1"/>
                  </w14:solidFill>
                </w14:textFill>
              </w:rPr>
              <w:t xml:space="preserve">；</w:t>
            </w:r>
            <w:r/>
          </w:p>
          <w:p>
            <w:pPr>
              <w:ind w:firstLine="1050"/>
              <w:jc w:val="left"/>
              <w:rPr>
                <w:rFonts w:hint="eastAsia" w:eastAsia="宋体"/>
                <w:color w:val="000000" w:themeColor="text1"/>
                <w:lang w:eastAsia="zh-CN"/>
                <w14:textFill>
                  <w14:solidFill>
                    <w14:schemeClr w14:val="tx1"/>
                  </w14:solidFill>
                </w14:textFill>
              </w:rPr>
            </w:pPr>
            <w:r>
              <w:rPr>
                <w:rFonts w:hint="eastAsia"/>
                <w:color w:val="000000" w:themeColor="text1"/>
                <w14:textFill>
                  <w14:solidFill>
                    <w14:schemeClr w14:val="tx1"/>
                  </w14:solidFill>
                </w14:textFill>
              </w:rPr>
              <w:t xml:space="preserve">直角撕裂负荷(纵、横向)≥</w:t>
            </w:r>
            <w:r>
              <w:rPr>
                <w:rFonts w:hint="eastAsia"/>
                <w:color w:val="000000" w:themeColor="text1"/>
                <w:lang w:val="en-US" w:eastAsia="zh-CN"/>
                <w14:textFill>
                  <w14:solidFill>
                    <w14:schemeClr w14:val="tx1"/>
                  </w14:solidFill>
                </w14:textFill>
              </w:rPr>
              <w:t xml:space="preserve">1.2</w:t>
            </w:r>
            <w:r>
              <w:rPr>
                <w:rFonts w:hint="eastAsia"/>
                <w:color w:val="000000" w:themeColor="text1"/>
                <w14:textFill>
                  <w14:solidFill>
                    <w14:schemeClr w14:val="tx1"/>
                  </w14:solidFill>
                </w14:textFill>
              </w:rPr>
              <w:t xml:space="preserve">N</w:t>
            </w:r>
            <w:r>
              <w:rPr>
                <w:rFonts w:hint="eastAsia" w:eastAsia="宋体"/>
                <w:color w:val="000000" w:themeColor="text1"/>
                <w:lang w:eastAsia="zh-CN"/>
                <w14:textFill>
                  <w14:solidFill>
                    <w14:schemeClr w14:val="tx1"/>
                  </w14:solidFill>
                </w14:textFill>
              </w:rPr>
              <w:t xml:space="preserve">；</w:t>
            </w:r>
            <w:r/>
          </w:p>
          <w:p>
            <w:pPr>
              <w:ind w:left="0" w:firstLine="0"/>
              <w:jc w:val="left"/>
              <w:rPr>
                <w:rFonts w:hint="eastAsia" w:ascii="宋体" w:hAnsi="宋体" w:eastAsia="宋体" w:cs="宋体"/>
                <w:color w:val="auto"/>
                <w:szCs w:val="28"/>
                <w:highlight w:val="none"/>
              </w:rPr>
            </w:pPr>
            <w:r>
              <w:rPr>
                <w:rFonts w:hint="eastAsia"/>
                <w:color w:val="000000" w:themeColor="text1"/>
                <w14:textFill>
                  <w14:solidFill>
                    <w14:schemeClr w14:val="tx1"/>
                  </w14:solidFill>
                </w14:textFill>
              </w:rPr>
              <w:t xml:space="preserve">外观方面:地膜不应有影响使用的气泡、杂质、条纹、穿孔、褶皱等缺陷，膜卷应卷绕整齐，不应有明显的暴筋。</w:t>
            </w:r>
            <w:r/>
          </w:p>
        </w:tc>
        <w:tc>
          <w:tcPr>
            <w:tcW w:w="1423" w:type="dxa"/>
            <w:vAlign w:val="center"/>
            <w:vMerge w:val="continue"/>
            <w:textDirection w:val="lrTb"/>
            <w:noWrap w:val="false"/>
          </w:tcPr>
          <w:p>
            <w:pPr>
              <w:jc w:val="center"/>
              <w:rPr>
                <w:rFonts w:hint="default"/>
                <w:color w:val="auto"/>
                <w:highlight w:val="none"/>
                <w:lang w:val="en-US"/>
              </w:rPr>
            </w:pPr>
            <w:r>
              <w:rPr>
                <w:rFonts w:hint="default"/>
                <w:color w:val="auto"/>
                <w:highlight w:val="none"/>
                <w:lang w:val="en-US"/>
              </w:rPr>
            </w:r>
            <w:r/>
          </w:p>
        </w:tc>
      </w:tr>
      <w:tr>
        <w:trPr>
          <w:trHeight w:val="509"/>
        </w:trPr>
        <w:tc>
          <w:tcPr>
            <w:tcW w:w="2250" w:type="dxa"/>
            <w:vAlign w:val="center"/>
            <w:textDirection w:val="lrTb"/>
            <w:noWrap w:val="false"/>
          </w:tcPr>
          <w:p>
            <w:pPr>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tc>
        <w:tc>
          <w:tcPr>
            <w:tcW w:w="6653" w:type="dxa"/>
            <w:vAlign w:val="center"/>
            <w:textDirection w:val="lrTb"/>
            <w:noWrap w:val="false"/>
          </w:tcPr>
          <w:p>
            <w:pPr>
              <w:jc w:val="center"/>
              <w:rPr>
                <w:rFonts w:hint="eastAsia" w:ascii="宋体" w:hAnsi="宋体" w:eastAsia="宋体" w:cs="宋体"/>
                <w:color w:val="auto"/>
                <w:szCs w:val="28"/>
                <w:highlight w:val="none"/>
              </w:rPr>
            </w:pPr>
            <w:r>
              <w:rPr>
                <w:rFonts w:hint="eastAsia" w:cs="Times New Roman" w:asciiTheme="minorEastAsia" w:hAnsiTheme="minorEastAsia" w:eastAsiaTheme="minorEastAsia"/>
                <w:color w:val="auto"/>
                <w:szCs w:val="28"/>
              </w:rPr>
              <w:t xml:space="preserve">售后服务期限：1年。</w:t>
            </w:r>
            <w:r/>
          </w:p>
        </w:tc>
        <w:tc>
          <w:tcPr>
            <w:tcW w:w="1423" w:type="dxa"/>
            <w:vAlign w:val="center"/>
            <w:vMerge w:val="continue"/>
            <w:textDirection w:val="lrTb"/>
            <w:noWrap w:val="false"/>
          </w:tcPr>
          <w:p>
            <w:pPr>
              <w:jc w:val="center"/>
              <w:rPr>
                <w:rFonts w:hint="default"/>
                <w:color w:val="auto"/>
                <w:highlight w:val="none"/>
                <w:lang w:val="en-US"/>
              </w:rPr>
            </w:pPr>
            <w:r>
              <w:rPr>
                <w:rFonts w:hint="default"/>
                <w:color w:val="auto"/>
                <w:highlight w:val="none"/>
                <w:lang w:val="en-US"/>
              </w:rPr>
            </w:r>
            <w:r/>
          </w:p>
        </w:tc>
      </w:tr>
    </w:tbl>
    <w:p>
      <w:pPr>
        <w:ind w:firstLine="420"/>
        <w:jc w:val="left"/>
        <w:keepLines/>
        <w:keepNext/>
        <w:spacing w:line="360" w:lineRule="auto"/>
        <w:rPr>
          <w:rFonts w:hint="eastAsia" w:ascii="宋体" w:hAnsi="宋体" w:eastAsia="宋体" w:cs="宋体"/>
          <w:color w:val="auto"/>
          <w:szCs w:val="21"/>
          <w:highlight w:val="none"/>
        </w:rPr>
        <w:outlineLvl w:val="1"/>
      </w:pPr>
      <w:r>
        <w:rPr>
          <w:rFonts w:hint="eastAsia" w:ascii="宋体" w:hAnsi="宋体" w:eastAsia="宋体" w:cs="宋体"/>
          <w:color w:val="auto"/>
          <w:szCs w:val="21"/>
          <w:highlight w:val="none"/>
        </w:rPr>
        <w:t xml:space="preserve">说明：证明材料有要求的按要求提供证明材料，没有要求的也可以使用生产厂家官方网站截图或产品白皮书或第三方机构检验报告或其他权威机构出具的证明材料。经评委审核证明材料有效，视为满足；未提供有效证明材料或证明材料中内容与所填报指标不一致的，该指标按不满足处理。</w:t>
      </w:r>
      <w:r/>
    </w:p>
    <w:p>
      <w:pPr>
        <w:pStyle w:val="734"/>
        <w:ind w:firstLine="420"/>
        <w:spacing w:after="0" w:line="360" w:lineRule="auto"/>
        <w:rPr>
          <w:rFonts w:hint="eastAsia" w:ascii="宋体" w:hAnsi="宋体" w:eastAsia="宋体" w:cs="宋体"/>
          <w:b/>
          <w:bCs/>
          <w:color w:val="auto"/>
          <w:highlight w:val="none"/>
        </w:rPr>
      </w:pPr>
      <w:r>
        <w:rPr>
          <w:rFonts w:hint="eastAsia" w:ascii="宋体" w:hAnsi="宋体" w:eastAsia="宋体" w:cs="宋体"/>
          <w:color w:val="auto"/>
          <w:szCs w:val="21"/>
          <w:highlight w:val="none"/>
        </w:rPr>
        <w:t xml:space="preserve">★</w:t>
      </w:r>
      <w:r>
        <w:rPr>
          <w:rFonts w:hint="eastAsia" w:ascii="宋体" w:hAnsi="宋体" w:eastAsia="宋体" w:cs="宋体"/>
          <w:b/>
          <w:bCs/>
          <w:color w:val="auto"/>
          <w:highlight w:val="none"/>
        </w:rPr>
        <w:t xml:space="preserve">四、商务条款</w:t>
      </w:r>
      <w:r/>
    </w:p>
    <w:p>
      <w:pPr>
        <w:ind w:firstLine="420"/>
        <w:spacing w:line="440" w:lineRule="exact"/>
        <w:rPr>
          <w:rFonts w:hint="eastAsia" w:ascii="宋体" w:hAnsi="宋体" w:eastAsia="宋体" w:cs="宋体"/>
          <w:color w:val="auto"/>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1、</w:t>
      </w:r>
      <w:bookmarkStart w:id="187" w:name="OLE_LINK41"/>
      <w:r>
        <w:rPr>
          <w:rFonts w:hint="eastAsia" w:ascii="宋体" w:hAnsi="宋体" w:eastAsia="宋体" w:cs="宋体"/>
          <w:color w:val="auto"/>
          <w:szCs w:val="21"/>
          <w:highlight w:val="none"/>
        </w:rPr>
        <w:t xml:space="preserve">供货期：</w:t>
      </w:r>
      <w:bookmarkEnd w:id="187"/>
      <w:r>
        <w:rPr>
          <w:rFonts w:hint="eastAsia" w:ascii="宋体" w:hAnsi="宋体" w:eastAsia="宋体" w:cs="宋体"/>
          <w:color w:val="auto"/>
          <w:szCs w:val="21"/>
          <w:highlight w:val="none"/>
        </w:rPr>
        <w:t xml:space="preserve">合同签订之日起</w:t>
      </w: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个月内完成供货</w:t>
      </w:r>
      <w:r>
        <w:rPr>
          <w:rFonts w:hint="eastAsia" w:ascii="宋体" w:hAnsi="宋体" w:eastAsia="宋体" w:cs="宋体"/>
          <w:color w:val="auto"/>
          <w:szCs w:val="21"/>
          <w:highlight w:val="none"/>
          <w:lang w:eastAsia="zh-CN"/>
        </w:rPr>
        <w:t xml:space="preserve">。</w:t>
      </w:r>
      <w:r/>
    </w:p>
    <w:p>
      <w:pPr>
        <w:ind w:firstLine="420"/>
        <w:spacing w:line="360" w:lineRule="auto"/>
        <w:rPr>
          <w:rFonts w:hint="eastAsia" w:ascii="宋体" w:hAnsi="宋体" w:eastAsia="宋体" w:cs="宋体"/>
          <w:color w:val="auto"/>
          <w:szCs w:val="21"/>
          <w:highlight w:val="none"/>
        </w:rPr>
      </w:pPr>
      <w:r/>
      <w:bookmarkStart w:id="188" w:name="OLE_LINK42"/>
      <w:r>
        <w:rPr>
          <w:rFonts w:hint="eastAsia" w:ascii="宋体" w:hAnsi="宋体" w:eastAsia="宋体" w:cs="宋体"/>
          <w:color w:val="auto"/>
          <w:szCs w:val="21"/>
          <w:highlight w:val="none"/>
        </w:rPr>
        <w:t xml:space="preserve">2、包装运输要求：</w:t>
      </w:r>
      <w:r/>
    </w:p>
    <w:p>
      <w:pPr>
        <w:ind w:firstLine="240"/>
        <w:spacing w:line="360" w:lineRule="auto"/>
        <w:rPr>
          <w:rFonts w:hint="eastAsia" w:ascii="宋体" w:hAnsi="宋体" w:eastAsia="宋体" w:cs="宋体"/>
          <w:color w:val="auto"/>
          <w:szCs w:val="21"/>
          <w:highlight w:val="none"/>
        </w:rPr>
      </w:pPr>
      <w:r/>
      <w:bookmarkStart w:id="189" w:name="OLE_LINK43"/>
      <w:r>
        <w:rPr>
          <w:rFonts w:hint="eastAsia" w:ascii="宋体" w:hAnsi="宋体" w:eastAsia="宋体" w:cs="宋体"/>
          <w:color w:val="auto"/>
          <w:szCs w:val="21"/>
          <w:highlight w:val="none"/>
        </w:rPr>
        <w:t xml:space="preserve">（1）投标人须提供经合法渠道进货的全新、未使用过的原装合格正品，符合国家质量检测标准，并完全符合采购需求规定的质量和性能的要求，产品内外包装完好。若所供产品经质量检测机构检测认定质量不合格、发生知识产权纠纷或其他法律纠纷等情况，造成的损失和后果由投标人负全责。</w:t>
      </w:r>
      <w:bookmarkEnd w:id="189"/>
      <w:r/>
      <w:r/>
    </w:p>
    <w:p>
      <w:pPr>
        <w:ind w:firstLine="240"/>
        <w:spacing w:line="360" w:lineRule="auto"/>
        <w:rPr>
          <w:rFonts w:hint="eastAsia" w:ascii="宋体" w:hAnsi="宋体" w:eastAsia="宋体" w:cs="宋体"/>
          <w:color w:val="auto"/>
          <w:szCs w:val="21"/>
          <w:highlight w:val="none"/>
        </w:rPr>
      </w:pPr>
      <w:r/>
      <w:bookmarkStart w:id="190" w:name="OLE_LINK44"/>
      <w:r>
        <w:rPr>
          <w:rFonts w:hint="eastAsia" w:ascii="宋体" w:hAnsi="宋体" w:eastAsia="宋体" w:cs="宋体"/>
          <w:color w:val="auto"/>
          <w:szCs w:val="21"/>
          <w:highlight w:val="none"/>
        </w:rPr>
        <w:t xml:space="preserve">（2）投标人应按合同中规定的时间和地点、采购人提供的交货明细清单中地膜规格和数量的要求直接运输至采购人指定地点交付货物。送货地点分散，数量规格较多，投标人需配备专业的运输车辆及熟悉投标产品的相关配送货的人员。</w:t>
      </w:r>
      <w:r/>
    </w:p>
    <w:p>
      <w:pPr>
        <w:ind w:firstLine="24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（3）投标人在本项目实施过程中，达到安全无事故。若造成任何安全事故等不良后果，由投标人负责。在项目实施过程中涉及的有关矛盾由投标人自主解决，采购人负责协调。</w:t>
      </w:r>
      <w:bookmarkEnd w:id="188"/>
      <w:r/>
      <w:bookmarkEnd w:id="190"/>
      <w:r/>
      <w:r/>
    </w:p>
    <w:p>
      <w:pPr>
        <w:ind w:firstLine="24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3、质保及售后服务要求： </w:t>
      </w:r>
      <w:r/>
    </w:p>
    <w:p>
      <w:pPr>
        <w:ind w:firstLine="240"/>
        <w:spacing w:line="360" w:lineRule="auto"/>
        <w:rPr>
          <w:rFonts w:hint="eastAsia" w:ascii="宋体" w:hAnsi="宋体" w:eastAsia="宋体" w:cs="宋体"/>
          <w:color w:val="auto"/>
          <w:szCs w:val="21"/>
          <w:highlight w:val="none"/>
        </w:rPr>
      </w:pPr>
      <w:r/>
      <w:bookmarkStart w:id="191" w:name="OLE_LINK45"/>
      <w:r>
        <w:rPr>
          <w:rFonts w:hint="eastAsia" w:ascii="宋体" w:hAnsi="宋体" w:eastAsia="宋体" w:cs="宋体"/>
          <w:color w:val="auto"/>
          <w:szCs w:val="21"/>
          <w:highlight w:val="none"/>
        </w:rPr>
        <w:t xml:space="preserve">（1）质保期：产品验收合格使用之日起1年。在质保期内该产品出现任何质量问题（人为除外），中标人须无条件更换，由此产生的所有费用由投标人承担。</w:t>
      </w:r>
      <w:r/>
    </w:p>
    <w:p>
      <w:pPr>
        <w:ind w:firstLine="24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（2）投标人提供24小时售后服务，并提供专门负责人联系电话。投标人在接到电话后，2小时内响应，48小时以内到达现场处理，由此产生的所有费用由投标人承担。</w:t>
      </w:r>
      <w:bookmarkEnd w:id="191"/>
      <w:r>
        <w:rPr>
          <w:rFonts w:hint="eastAsia" w:ascii="宋体" w:hAnsi="宋体" w:eastAsia="宋体" w:cs="宋体"/>
          <w:color w:val="auto"/>
          <w:szCs w:val="21"/>
          <w:highlight w:val="none"/>
        </w:rPr>
        <w:t xml:space="preserve"> </w:t>
      </w:r>
      <w:r/>
    </w:p>
    <w:p>
      <w:pPr>
        <w:ind w:firstLine="240"/>
        <w:spacing w:line="360" w:lineRule="auto"/>
        <w:rPr>
          <w:rFonts w:hint="eastAsia" w:ascii="宋体" w:hAnsi="宋体" w:eastAsia="宋体" w:cs="宋体"/>
          <w:color w:val="auto"/>
          <w:szCs w:val="21"/>
          <w:highlight w:val="none"/>
        </w:rPr>
      </w:pPr>
      <w:r/>
      <w:bookmarkStart w:id="192" w:name="OLE_LINK46"/>
      <w:r>
        <w:rPr>
          <w:rFonts w:hint="eastAsia" w:ascii="宋体" w:hAnsi="宋体" w:eastAsia="宋体" w:cs="宋体"/>
          <w:color w:val="auto"/>
          <w:szCs w:val="21"/>
          <w:highlight w:val="none"/>
        </w:rPr>
        <w:t xml:space="preserve">（3）在产品使用期间，投标人应提供专业的培训服务，并免费提供关于详尽的培训材料，指导农户的使用培训不少于2次（每次不少于2小时）。一般技术培训不得限制人数。</w:t>
      </w:r>
      <w:r/>
    </w:p>
    <w:p>
      <w:pPr>
        <w:ind w:firstLine="24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（4）投标人应保证，如能中标，采购人在使用中标货物时，免受第三方提出的侵犯其专利权、商标权或工业设计权的起诉。</w:t>
      </w:r>
      <w:bookmarkEnd w:id="192"/>
      <w:r/>
      <w:r/>
    </w:p>
    <w:p>
      <w:pPr>
        <w:ind w:firstLine="24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4、验收要求：</w:t>
      </w:r>
      <w:r/>
    </w:p>
    <w:p>
      <w:pPr>
        <w:ind w:firstLine="24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（1）投标人必须按照采购人指定地点交付货物，并全程安排专人负责，直到本次项目验收结束。验收所需的工具、仪器及辅助材料由投标人自行解决。</w:t>
      </w:r>
      <w:r/>
    </w:p>
    <w:p>
      <w:pPr>
        <w:ind w:firstLine="24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投标人须按合同要求配合采购人对全部货物的型号、规格、数量、外形、包装及资料、文件（如合格证、装箱单、质保单、随箱介质等）进行验收；验收时各镇（区、街道）项目对接负责人必须在现场，并进行书面签收确认。</w:t>
      </w:r>
      <w:r/>
    </w:p>
    <w:p>
      <w:pPr>
        <w:ind w:firstLine="24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（3）当初验时出现不符合招标文件和合同要求的严重质量问题时，采购人保留索赔及退货权利。</w:t>
      </w:r>
      <w:r/>
    </w:p>
    <w:p>
      <w:pPr>
        <w:ind w:firstLine="24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（4）当出现货物损坏、数量不全、规格不符等问题时，由投标人负责解决。</w:t>
      </w:r>
      <w:r/>
    </w:p>
    <w:p>
      <w:pPr>
        <w:ind w:firstLine="24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（5）货物验收通过后，由采购人开具到货验收单，一式三份，采购人、各镇（区、街道）项目对接负责人、投标人各执一份。</w:t>
      </w:r>
      <w:r/>
    </w:p>
    <w:p>
      <w:pPr>
        <w:ind w:firstLine="24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在产品使用过程中，采购人可根据实际使用农户反馈的情况对产品质量进行抽检，投标人、采购人双方共同协商指定一家权威机构进行检测，投标人承担所有检测费用。如检测结果不符合国家标准要求，则由投标人和农户协商赔偿事宜。</w:t>
      </w:r>
      <w:r/>
    </w:p>
    <w:p>
      <w:pPr>
        <w:ind w:firstLine="24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（7）验收情况作为支付货款的依据。</w:t>
      </w:r>
      <w:r/>
    </w:p>
    <w:p>
      <w:pPr>
        <w:ind w:firstLine="24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5、其他要求</w:t>
      </w:r>
      <w:r/>
    </w:p>
    <w:p>
      <w:pPr>
        <w:ind w:firstLine="24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注：对采购需求部分的询问、质疑请向采购人提出，询问、质疑由采购人负责解释。</w:t>
      </w:r>
      <w:r/>
    </w:p>
    <w:p>
      <w:pPr>
        <w:ind w:firstLine="24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本部分标注“★”实质性要求，必须响应，不允许负偏离，否则作为无效投标处理。</w:t>
      </w:r>
      <w:r/>
    </w:p>
    <w:p>
      <w:pPr>
        <w:ind w:firstLine="24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716"/>
        <w:keepNext w:val="0"/>
        <w:spacing w:line="360" w:lineRule="auto"/>
        <w:rPr>
          <w:rFonts w:hint="eastAsia" w:ascii="宋体" w:hAnsi="宋体" w:eastAsia="宋体" w:cs="宋体"/>
          <w:color w:val="auto"/>
          <w:highlight w:val="none"/>
        </w:rPr>
      </w:pPr>
      <w:r/>
      <w:bookmarkStart w:id="193" w:name="_Toc255"/>
      <w:r/>
      <w:bookmarkStart w:id="194" w:name="_Toc4295"/>
      <w:r/>
      <w:bookmarkStart w:id="195" w:name="_Toc22066"/>
      <w:r/>
      <w:r/>
    </w:p>
    <w:p>
      <w:pPr>
        <w:pStyle w:val="716"/>
        <w:keepNext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716"/>
        <w:keepNext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cs="宋体"/>
          <w:b/>
          <w:color w:val="auto"/>
          <w:sz w:val="32"/>
          <w:szCs w:val="32"/>
          <w:highlight w:val="none"/>
          <w:lang w:val="en-US" w:eastAsia="zh-CN"/>
        </w:rPr>
      </w:pPr>
      <w:r>
        <w:rPr>
          <w:rFonts w:hint="eastAsia" w:ascii="宋体" w:hAnsi="宋体" w:cs="宋体"/>
          <w:b/>
          <w:color w:val="auto"/>
          <w:sz w:val="32"/>
          <w:szCs w:val="32"/>
          <w:highlight w:val="none"/>
          <w:lang w:val="en-US" w:eastAsia="zh-CN"/>
        </w:rPr>
      </w:r>
      <w:r/>
    </w:p>
    <w:p>
      <w:pPr>
        <w:spacing w:line="360" w:lineRule="auto"/>
        <w:rPr>
          <w:rFonts w:hint="eastAsia" w:ascii="宋体" w:hAnsi="宋体" w:cs="宋体"/>
          <w:b/>
          <w:color w:val="auto"/>
          <w:sz w:val="32"/>
          <w:szCs w:val="32"/>
          <w:highlight w:val="none"/>
          <w:lang w:val="en-US" w:eastAsia="zh-CN"/>
        </w:rPr>
      </w:pPr>
      <w:r>
        <w:rPr>
          <w:rFonts w:hint="eastAsia" w:ascii="宋体" w:hAnsi="宋体" w:cs="宋体"/>
          <w:b/>
          <w:color w:val="auto"/>
          <w:sz w:val="32"/>
          <w:szCs w:val="32"/>
          <w:highlight w:val="none"/>
          <w:lang w:val="en-US" w:eastAsia="zh-CN"/>
        </w:rPr>
      </w:r>
      <w:r/>
    </w:p>
    <w:p>
      <w:pPr>
        <w:spacing w:line="360" w:lineRule="auto"/>
        <w:rPr>
          <w:rFonts w:hint="eastAsia" w:ascii="宋体" w:hAnsi="宋体" w:cs="宋体"/>
          <w:b/>
          <w:color w:val="auto"/>
          <w:sz w:val="32"/>
          <w:szCs w:val="32"/>
          <w:highlight w:val="none"/>
          <w:lang w:val="en-US" w:eastAsia="zh-CN"/>
        </w:rPr>
      </w:pPr>
      <w:r>
        <w:rPr>
          <w:rFonts w:hint="eastAsia" w:ascii="宋体" w:hAnsi="宋体" w:cs="宋体"/>
          <w:b/>
          <w:color w:val="auto"/>
          <w:sz w:val="32"/>
          <w:szCs w:val="32"/>
          <w:highlight w:val="none"/>
          <w:lang w:val="en-US" w:eastAsia="zh-CN"/>
        </w:rPr>
      </w:r>
      <w:r/>
    </w:p>
    <w:p>
      <w:pPr>
        <w:spacing w:line="360" w:lineRule="auto"/>
        <w:rPr>
          <w:rFonts w:hint="eastAsia" w:ascii="宋体" w:hAnsi="宋体" w:cs="宋体"/>
          <w:b/>
          <w:color w:val="auto"/>
          <w:sz w:val="32"/>
          <w:szCs w:val="32"/>
          <w:highlight w:val="none"/>
          <w:lang w:val="en-US" w:eastAsia="zh-CN"/>
        </w:rPr>
      </w:pPr>
      <w:r>
        <w:rPr>
          <w:rFonts w:hint="eastAsia" w:ascii="宋体" w:hAnsi="宋体" w:cs="宋体"/>
          <w:b/>
          <w:color w:val="auto"/>
          <w:sz w:val="32"/>
          <w:szCs w:val="32"/>
          <w:highlight w:val="none"/>
          <w:lang w:val="en-US" w:eastAsia="zh-CN"/>
        </w:rPr>
      </w:r>
      <w:r/>
    </w:p>
    <w:p>
      <w:pPr>
        <w:spacing w:line="360" w:lineRule="auto"/>
        <w:rPr>
          <w:rFonts w:hint="eastAsia" w:ascii="宋体" w:hAnsi="宋体" w:cs="宋体"/>
          <w:b/>
          <w:color w:val="auto"/>
          <w:sz w:val="32"/>
          <w:szCs w:val="32"/>
          <w:highlight w:val="none"/>
          <w:lang w:val="en-US" w:eastAsia="zh-CN"/>
        </w:rPr>
      </w:pPr>
      <w:r>
        <w:rPr>
          <w:rFonts w:hint="eastAsia" w:ascii="宋体" w:hAnsi="宋体" w:cs="宋体"/>
          <w:b/>
          <w:color w:val="auto"/>
          <w:sz w:val="32"/>
          <w:szCs w:val="32"/>
          <w:highlight w:val="none"/>
          <w:lang w:val="en-US" w:eastAsia="zh-CN"/>
        </w:rPr>
      </w:r>
      <w:r/>
    </w:p>
    <w:p>
      <w:pPr>
        <w:spacing w:line="360" w:lineRule="auto"/>
        <w:rPr>
          <w:rFonts w:hint="eastAsia" w:ascii="宋体" w:hAnsi="宋体" w:cs="宋体"/>
          <w:b/>
          <w:color w:val="auto"/>
          <w:sz w:val="32"/>
          <w:szCs w:val="32"/>
          <w:highlight w:val="none"/>
          <w:lang w:val="en-US" w:eastAsia="zh-CN"/>
        </w:rPr>
      </w:pPr>
      <w:r>
        <w:rPr>
          <w:rFonts w:hint="eastAsia" w:ascii="宋体" w:hAnsi="宋体" w:cs="宋体"/>
          <w:b/>
          <w:color w:val="auto"/>
          <w:sz w:val="32"/>
          <w:szCs w:val="32"/>
          <w:highlight w:val="none"/>
          <w:lang w:val="en-US" w:eastAsia="zh-CN"/>
        </w:rPr>
      </w:r>
      <w:r/>
    </w:p>
    <w:p>
      <w:pPr>
        <w:spacing w:line="360" w:lineRule="auto"/>
        <w:rPr>
          <w:rFonts w:hint="eastAsia" w:ascii="宋体" w:hAnsi="宋体" w:cs="宋体"/>
          <w:b/>
          <w:color w:val="auto"/>
          <w:sz w:val="32"/>
          <w:szCs w:val="32"/>
          <w:highlight w:val="none"/>
          <w:lang w:val="en-US" w:eastAsia="zh-CN"/>
        </w:rPr>
      </w:pPr>
      <w:r>
        <w:rPr>
          <w:rFonts w:hint="eastAsia" w:ascii="宋体" w:hAnsi="宋体" w:cs="宋体"/>
          <w:b/>
          <w:color w:val="auto"/>
          <w:sz w:val="32"/>
          <w:szCs w:val="32"/>
          <w:highlight w:val="none"/>
          <w:lang w:val="en-US" w:eastAsia="zh-CN"/>
        </w:rPr>
      </w:r>
      <w:r/>
    </w:p>
    <w:p>
      <w:pPr>
        <w:spacing w:line="360" w:lineRule="auto"/>
        <w:rPr>
          <w:rFonts w:hint="eastAsia" w:ascii="宋体" w:hAnsi="宋体" w:cs="宋体"/>
          <w:b/>
          <w:color w:val="auto"/>
          <w:sz w:val="32"/>
          <w:szCs w:val="32"/>
          <w:highlight w:val="none"/>
          <w:lang w:val="en-US" w:eastAsia="zh-CN"/>
        </w:rPr>
      </w:pPr>
      <w:r>
        <w:rPr>
          <w:rFonts w:hint="eastAsia" w:ascii="宋体" w:hAnsi="宋体" w:cs="宋体"/>
          <w:b/>
          <w:color w:val="auto"/>
          <w:sz w:val="32"/>
          <w:szCs w:val="32"/>
          <w:highlight w:val="none"/>
          <w:lang w:val="en-US" w:eastAsia="zh-CN"/>
        </w:rPr>
      </w:r>
      <w:r/>
    </w:p>
    <w:p>
      <w:pPr>
        <w:spacing w:line="360" w:lineRule="auto"/>
        <w:rPr>
          <w:rFonts w:hint="eastAsia" w:ascii="宋体" w:hAnsi="宋体" w:cs="宋体"/>
          <w:b/>
          <w:color w:val="auto"/>
          <w:sz w:val="32"/>
          <w:szCs w:val="32"/>
          <w:highlight w:val="none"/>
          <w:lang w:val="en-US" w:eastAsia="zh-CN"/>
        </w:rPr>
      </w:pPr>
      <w:r>
        <w:rPr>
          <w:rFonts w:hint="eastAsia" w:ascii="宋体" w:hAnsi="宋体" w:cs="宋体"/>
          <w:b/>
          <w:color w:val="auto"/>
          <w:sz w:val="32"/>
          <w:szCs w:val="32"/>
          <w:highlight w:val="none"/>
          <w:lang w:val="en-US" w:eastAsia="zh-CN"/>
        </w:rPr>
      </w:r>
      <w:r/>
    </w:p>
    <w:p>
      <w:pPr>
        <w:spacing w:line="360" w:lineRule="auto"/>
        <w:rPr>
          <w:rFonts w:hint="eastAsia" w:ascii="宋体" w:hAnsi="宋体" w:cs="宋体"/>
          <w:b/>
          <w:color w:val="auto"/>
          <w:sz w:val="32"/>
          <w:szCs w:val="32"/>
          <w:highlight w:val="none"/>
          <w:lang w:val="en-US" w:eastAsia="zh-CN"/>
        </w:rPr>
      </w:pPr>
      <w:r>
        <w:rPr>
          <w:rFonts w:hint="eastAsia" w:ascii="宋体" w:hAnsi="宋体" w:cs="宋体"/>
          <w:b/>
          <w:color w:val="auto"/>
          <w:sz w:val="32"/>
          <w:szCs w:val="32"/>
          <w:highlight w:val="none"/>
          <w:lang w:val="en-US" w:eastAsia="zh-CN"/>
        </w:rPr>
      </w:r>
      <w:r/>
    </w:p>
    <w:p>
      <w:pPr>
        <w:spacing w:line="360" w:lineRule="auto"/>
        <w:rPr>
          <w:rFonts w:hint="eastAsia" w:ascii="宋体" w:hAnsi="宋体" w:cs="宋体"/>
          <w:b/>
          <w:color w:val="auto"/>
          <w:sz w:val="32"/>
          <w:szCs w:val="32"/>
          <w:highlight w:val="none"/>
          <w:lang w:val="en-US" w:eastAsia="zh-CN"/>
        </w:rPr>
      </w:pPr>
      <w:r>
        <w:rPr>
          <w:rFonts w:hint="eastAsia" w:ascii="宋体" w:hAnsi="宋体" w:cs="宋体"/>
          <w:b/>
          <w:color w:val="auto"/>
          <w:sz w:val="32"/>
          <w:szCs w:val="32"/>
          <w:highlight w:val="none"/>
          <w:lang w:val="en-US" w:eastAsia="zh-CN"/>
        </w:rPr>
      </w:r>
      <w:r/>
    </w:p>
    <w:p>
      <w:pPr>
        <w:spacing w:line="360" w:lineRule="auto"/>
        <w:rPr>
          <w:rFonts w:hint="eastAsia" w:ascii="宋体" w:hAnsi="宋体" w:cs="宋体"/>
          <w:b/>
          <w:color w:val="auto"/>
          <w:sz w:val="32"/>
          <w:szCs w:val="32"/>
          <w:highlight w:val="none"/>
          <w:lang w:val="en-US" w:eastAsia="zh-CN"/>
        </w:rPr>
      </w:pPr>
      <w:r>
        <w:rPr>
          <w:rFonts w:hint="eastAsia" w:ascii="宋体" w:hAnsi="宋体" w:cs="宋体"/>
          <w:b/>
          <w:color w:val="auto"/>
          <w:sz w:val="32"/>
          <w:szCs w:val="32"/>
          <w:highlight w:val="none"/>
          <w:lang w:val="en-US" w:eastAsia="zh-CN"/>
        </w:rPr>
      </w:r>
      <w:r/>
    </w:p>
    <w:p>
      <w:pPr>
        <w:spacing w:line="360" w:lineRule="auto"/>
        <w:rPr>
          <w:rFonts w:hint="eastAsia" w:ascii="宋体" w:hAnsi="宋体" w:cs="宋体"/>
          <w:b/>
          <w:color w:val="auto"/>
          <w:sz w:val="32"/>
          <w:szCs w:val="32"/>
          <w:highlight w:val="none"/>
          <w:lang w:val="en-US" w:eastAsia="zh-CN"/>
        </w:rPr>
      </w:pPr>
      <w:r>
        <w:rPr>
          <w:rFonts w:hint="eastAsia" w:ascii="宋体" w:hAnsi="宋体" w:cs="宋体"/>
          <w:b/>
          <w:color w:val="auto"/>
          <w:sz w:val="32"/>
          <w:szCs w:val="32"/>
          <w:highlight w:val="none"/>
          <w:lang w:val="en-US" w:eastAsia="zh-CN"/>
        </w:rPr>
      </w:r>
      <w:r/>
    </w:p>
    <w:p>
      <w:pPr>
        <w:spacing w:line="360" w:lineRule="auto"/>
        <w:rPr>
          <w:rFonts w:hint="eastAsia" w:ascii="宋体" w:hAnsi="宋体" w:eastAsia="宋体" w:cs="宋体"/>
          <w:b/>
          <w:color w:val="auto"/>
          <w:sz w:val="32"/>
          <w:szCs w:val="32"/>
          <w:highlight w:val="none"/>
          <w:lang w:val="en-US" w:eastAsia="zh-CN"/>
        </w:rPr>
      </w:pPr>
      <w:r>
        <w:rPr>
          <w:rFonts w:hint="eastAsia" w:ascii="宋体" w:hAnsi="宋体" w:cs="宋体"/>
          <w:b/>
          <w:color w:val="auto"/>
          <w:sz w:val="32"/>
          <w:szCs w:val="32"/>
          <w:highlight w:val="none"/>
          <w:lang w:val="en-US" w:eastAsia="zh-CN"/>
        </w:rPr>
        <w:t xml:space="preserve">分包二：</w:t>
      </w:r>
      <w:r/>
    </w:p>
    <w:p>
      <w:pPr>
        <w:ind w:firstLine="883"/>
        <w:spacing w:line="360" w:lineRule="auto"/>
        <w:rPr>
          <w:rFonts w:hint="eastAsia" w:ascii="宋体" w:hAnsi="宋体" w:eastAsia="宋体" w:cs="宋体"/>
          <w:b/>
          <w:color w:val="auto"/>
          <w:szCs w:val="21"/>
          <w:highlight w:val="none"/>
        </w:rPr>
      </w:pPr>
      <w:r>
        <w:rPr>
          <w:rFonts w:hint="eastAsia" w:ascii="宋体" w:hAnsi="宋体" w:eastAsia="宋体" w:cs="宋体"/>
          <w:b/>
          <w:color w:val="auto"/>
          <w:sz w:val="22"/>
          <w:szCs w:val="22"/>
          <w:highlight w:val="none"/>
        </w:rPr>
        <w:t xml:space="preserve">说明：</w:t>
      </w:r>
      <w:r>
        <w:rPr>
          <w:rFonts w:hint="eastAsia" w:ascii="宋体" w:hAnsi="宋体" w:eastAsia="宋体" w:cs="宋体"/>
          <w:color w:val="auto"/>
          <w:sz w:val="22"/>
          <w:szCs w:val="22"/>
          <w:highlight w:val="none"/>
        </w:rPr>
        <w:t xml:space="preserve">本项目属性为</w:t>
      </w:r>
      <w:r>
        <w:rPr>
          <w:rFonts w:hint="eastAsia" w:ascii="宋体" w:hAnsi="宋体" w:eastAsia="宋体" w:cs="宋体"/>
          <w:b/>
          <w:bCs/>
          <w:color w:val="auto"/>
          <w:sz w:val="22"/>
          <w:szCs w:val="22"/>
          <w:highlight w:val="none"/>
        </w:rPr>
        <w:t xml:space="preserve">货物</w:t>
      </w:r>
      <w:r>
        <w:rPr>
          <w:rFonts w:hint="eastAsia" w:ascii="宋体" w:hAnsi="宋体" w:eastAsia="宋体" w:cs="宋体"/>
          <w:color w:val="auto"/>
          <w:sz w:val="22"/>
          <w:szCs w:val="22"/>
          <w:highlight w:val="none"/>
        </w:rPr>
        <w:t xml:space="preserve">采购，采购标的对应的中小企业划分标准所属行业为</w:t>
      </w:r>
      <w:r>
        <w:rPr>
          <w:rFonts w:hint="eastAsia" w:ascii="宋体" w:hAnsi="宋体" w:eastAsia="宋体" w:cs="宋体"/>
          <w:b/>
          <w:bCs/>
          <w:color w:val="auto"/>
          <w:sz w:val="22"/>
          <w:szCs w:val="22"/>
          <w:highlight w:val="none"/>
        </w:rPr>
        <w:t xml:space="preserve">工业</w:t>
      </w:r>
      <w:r>
        <w:rPr>
          <w:rFonts w:hint="eastAsia" w:ascii="宋体" w:hAnsi="宋体" w:eastAsia="宋体" w:cs="宋体"/>
          <w:color w:val="auto"/>
          <w:sz w:val="22"/>
          <w:szCs w:val="22"/>
          <w:highlight w:val="none"/>
        </w:rPr>
        <w:t xml:space="preserve">。</w:t>
      </w:r>
      <w:r/>
    </w:p>
    <w:p>
      <w:pPr>
        <w:ind w:firstLine="793"/>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一、本项目需求中标注★号的部分为实质性要求和条件，供应商必须作出满足或者优于原要求和条件的响应，否则作无效响应处理。</w:t>
      </w:r>
      <w:r/>
    </w:p>
    <w:p>
      <w:pPr>
        <w:pStyle w:val="734"/>
        <w:ind w:firstLine="200"/>
        <w:spacing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二</w:t>
      </w:r>
      <w:r>
        <w:rPr>
          <w:rFonts w:hint="eastAsia" w:ascii="宋体" w:hAnsi="宋体" w:eastAsia="宋体" w:cs="宋体"/>
          <w:b/>
          <w:bCs/>
          <w:color w:val="auto"/>
          <w:sz w:val="24"/>
          <w:szCs w:val="24"/>
          <w:highlight w:val="none"/>
        </w:rPr>
        <w:t xml:space="preserve">、采购清单</w:t>
      </w:r>
      <w:r/>
    </w:p>
    <w:tbl>
      <w:tblPr>
        <w:tblStyle w:val="726"/>
        <w:tblpPr w:horzAnchor="page" w:tblpXSpec="center" w:vertAnchor="text" w:tblpY="691" w:leftFromText="180" w:topFromText="0" w:rightFromText="180" w:bottomFromText="0"/>
        <w:tblW w:w="102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640"/>
        <w:gridCol w:w="1985"/>
        <w:gridCol w:w="1559"/>
        <w:gridCol w:w="2163"/>
        <w:gridCol w:w="1806"/>
        <w:gridCol w:w="1075"/>
      </w:tblGrid>
      <w:tr>
        <w:trPr>
          <w:jc w:val="center"/>
          <w:trHeight w:val="557"/>
        </w:trPr>
        <w:tc>
          <w:tcPr>
            <w:tcW w:w="1640" w:type="dxa"/>
            <w:vAlign w:val="center"/>
            <w:textDirection w:val="lrTb"/>
            <w:noWrap w:val="false"/>
          </w:tcPr>
          <w:p>
            <w:pPr>
              <w:jc w:val="center"/>
              <w:spacing w:line="360" w:lineRule="auto"/>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val="en-US" w:eastAsia="zh-CN"/>
              </w:rPr>
              <w:t xml:space="preserve">序号</w:t>
            </w:r>
            <w:r/>
          </w:p>
        </w:tc>
        <w:tc>
          <w:tcPr>
            <w:tcW w:w="1985"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采购产品</w:t>
            </w:r>
            <w:r/>
          </w:p>
        </w:tc>
        <w:tc>
          <w:tcPr>
            <w:tcW w:w="1559" w:type="dxa"/>
            <w:vAlign w:val="center"/>
            <w:textDirection w:val="lrTb"/>
            <w:noWrap w:val="false"/>
          </w:tcPr>
          <w:p>
            <w:pPr>
              <w:ind w:firstLine="21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计量单位</w:t>
            </w:r>
            <w:r/>
          </w:p>
        </w:tc>
        <w:tc>
          <w:tcPr>
            <w:tcW w:w="2163"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最高单价限价（元）</w:t>
            </w:r>
            <w:r/>
          </w:p>
        </w:tc>
        <w:tc>
          <w:tcPr>
            <w:tcW w:w="1806"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是否进口产品</w:t>
            </w:r>
            <w:r/>
          </w:p>
        </w:tc>
        <w:tc>
          <w:tcPr>
            <w:tcW w:w="1075"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备注</w:t>
            </w:r>
            <w:r/>
          </w:p>
        </w:tc>
      </w:tr>
      <w:tr>
        <w:trPr>
          <w:jc w:val="center"/>
          <w:trHeight w:val="766" w:hRule="exact"/>
        </w:trPr>
        <w:tc>
          <w:tcPr>
            <w:tcW w:w="1640" w:type="dxa"/>
            <w:vAlign w:val="center"/>
            <w:textDirection w:val="lrTb"/>
            <w:noWrap w:val="false"/>
          </w:tcPr>
          <w:p>
            <w:pPr>
              <w:jc w:val="center"/>
              <w:spacing w:line="360" w:lineRule="auto"/>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1</w:t>
            </w:r>
            <w:r/>
          </w:p>
        </w:tc>
        <w:tc>
          <w:tcPr>
            <w:tcW w:w="1985"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全生物降解地膜</w:t>
            </w:r>
            <w:r/>
          </w:p>
        </w:tc>
        <w:tc>
          <w:tcPr>
            <w:tcW w:w="1559"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吨</w:t>
            </w:r>
            <w:r/>
          </w:p>
        </w:tc>
        <w:tc>
          <w:tcPr>
            <w:tcW w:w="2163"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2</w:t>
            </w:r>
            <w:r>
              <w:rPr>
                <w:rFonts w:hint="eastAsia" w:ascii="宋体" w:hAnsi="宋体" w:cs="宋体"/>
                <w:color w:val="auto"/>
                <w:szCs w:val="21"/>
                <w:highlight w:val="none"/>
                <w:lang w:val="en-US" w:eastAsia="zh-CN"/>
              </w:rPr>
              <w:t xml:space="preserve">5</w:t>
            </w:r>
            <w:r>
              <w:rPr>
                <w:rFonts w:hint="eastAsia" w:ascii="宋体" w:hAnsi="宋体" w:eastAsia="宋体" w:cs="宋体"/>
                <w:color w:val="auto"/>
                <w:szCs w:val="21"/>
                <w:highlight w:val="none"/>
                <w:lang w:val="en-US" w:eastAsia="zh-CN"/>
              </w:rPr>
              <w:t xml:space="preserve">000.00</w:t>
            </w:r>
            <w:r/>
          </w:p>
        </w:tc>
        <w:tc>
          <w:tcPr>
            <w:tcW w:w="1806"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否</w:t>
            </w:r>
            <w:r/>
          </w:p>
        </w:tc>
        <w:tc>
          <w:tcPr>
            <w:tcW w:w="1075"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bl>
    <w:p>
      <w:pPr>
        <w:ind w:firstLine="420"/>
        <w:jc w:val="left"/>
        <w:spacing w:line="360" w:lineRule="auto"/>
        <w:rPr>
          <w:rFonts w:hint="eastAsia" w:ascii="宋体" w:hAnsi="宋体" w:eastAsia="宋体" w:cs="宋体"/>
          <w:bCs/>
          <w:color w:val="auto"/>
          <w:szCs w:val="21"/>
          <w:highlight w:val="none"/>
        </w:rPr>
      </w:pPr>
      <w:r>
        <w:rPr>
          <w:rFonts w:hint="eastAsia" w:ascii="宋体" w:hAnsi="宋体" w:eastAsia="宋体" w:cs="宋体"/>
          <w:color w:val="auto"/>
          <w:szCs w:val="21"/>
          <w:highlight w:val="none"/>
        </w:rPr>
        <w:t xml:space="preserve">★</w:t>
      </w:r>
      <w:r>
        <w:rPr>
          <w:rFonts w:hint="eastAsia" w:ascii="宋体" w:hAnsi="宋体" w:eastAsia="宋体" w:cs="宋体"/>
          <w:bCs/>
          <w:color w:val="auto"/>
          <w:szCs w:val="21"/>
          <w:highlight w:val="none"/>
        </w:rPr>
        <w:t xml:space="preserve">本项目采用</w:t>
      </w:r>
      <w:r>
        <w:rPr>
          <w:rFonts w:hint="eastAsia" w:ascii="宋体" w:hAnsi="宋体" w:eastAsia="宋体" w:cs="宋体"/>
          <w:b/>
          <w:color w:val="auto"/>
          <w:szCs w:val="21"/>
          <w:highlight w:val="none"/>
          <w:u w:val="single"/>
        </w:rPr>
        <w:t xml:space="preserve">单价报价</w:t>
      </w:r>
      <w:r>
        <w:rPr>
          <w:rFonts w:hint="eastAsia" w:ascii="宋体" w:hAnsi="宋体" w:eastAsia="宋体" w:cs="宋体"/>
          <w:bCs/>
          <w:color w:val="auto"/>
          <w:szCs w:val="21"/>
          <w:highlight w:val="none"/>
        </w:rPr>
        <w:t xml:space="preserve">方式，投标报价高于限价(单价)的投价文件视为无效投价文件。</w:t>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本项目供货数量以最终实际需求数量为准。</w:t>
      </w:r>
      <w:r/>
    </w:p>
    <w:p>
      <w:pPr>
        <w:pStyle w:val="734"/>
        <w:ind w:firstLine="422"/>
        <w:spacing w:after="0"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三、产品技术指标和要求</w:t>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rPr>
          <w:rFonts w:hint="eastAsia" w:ascii="宋体" w:hAnsi="宋体" w:eastAsia="宋体" w:cs="宋体"/>
          <w:b/>
          <w:color w:val="auto"/>
          <w:sz w:val="24"/>
          <w:highlight w:val="none"/>
        </w:rPr>
        <w:t xml:space="preserve">采购清单及技术参数要求</w:t>
      </w:r>
      <w:r/>
    </w:p>
    <w:tbl>
      <w:tblPr>
        <w:tblStyle w:val="1009"/>
        <w:tblW w:w="10326" w:type="dxa"/>
        <w:tblInd w:w="-23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2250"/>
        <w:gridCol w:w="6653"/>
        <w:gridCol w:w="1423"/>
      </w:tblGrid>
      <w:tr>
        <w:trPr>
          <w:trHeight w:val="682"/>
        </w:trPr>
        <w:tc>
          <w:tcPr>
            <w:tcW w:w="2250" w:type="dxa"/>
            <w:vAlign w:val="center"/>
            <w:textDirection w:val="lrTb"/>
            <w:noWrap w:val="false"/>
          </w:tcPr>
          <w:p>
            <w:pPr>
              <w:jc w:val="center"/>
            </w:pPr>
            <w:r/>
            <w:r/>
          </w:p>
          <w:p>
            <w:pPr>
              <w:jc w:val="center"/>
              <w:rPr>
                <w:rFonts w:hint="eastAsia" w:ascii="宋体" w:hAnsi="宋体" w:eastAsia="宋体" w:cs="宋体"/>
                <w:color w:val="auto"/>
                <w:highlight w:val="none"/>
              </w:rPr>
            </w:pPr>
            <w:r>
              <w:t xml:space="preserve">名称</w:t>
            </w:r>
            <w:r/>
          </w:p>
        </w:tc>
        <w:tc>
          <w:tcPr>
            <w:tcW w:w="6653" w:type="dxa"/>
            <w:vAlign w:val="center"/>
            <w:textDirection w:val="lrTb"/>
            <w:noWrap w:val="false"/>
          </w:tcPr>
          <w:p>
            <w:pPr>
              <w:jc w:val="center"/>
              <w:rPr>
                <w:rFonts w:hint="eastAsia" w:ascii="宋体" w:hAnsi="宋体" w:eastAsia="宋体" w:cs="宋体"/>
                <w:color w:val="auto"/>
                <w:highlight w:val="none"/>
              </w:rPr>
            </w:pPr>
            <w:r>
              <w:rPr>
                <w:sz w:val="22"/>
                <w:szCs w:val="22"/>
              </w:rPr>
              <w:t xml:space="preserve">技术规格</w:t>
            </w:r>
            <w:r/>
          </w:p>
        </w:tc>
        <w:tc>
          <w:tcPr>
            <w:tcW w:w="1423" w:type="dxa"/>
            <w:vAlign w:val="center"/>
            <w:textDirection w:val="lrTb"/>
            <w:noWrap w:val="false"/>
          </w:tcPr>
          <w:p>
            <w:pPr>
              <w:jc w:val="center"/>
            </w:pPr>
            <w:r>
              <w:t xml:space="preserve">最高限价 </w:t>
            </w:r>
            <w:r/>
          </w:p>
          <w:p>
            <w:pPr>
              <w:jc w:val="center"/>
              <w:rPr>
                <w:color w:val="auto"/>
                <w:highlight w:val="none"/>
              </w:rPr>
            </w:pPr>
            <w:r>
              <w:t xml:space="preserve"> (元/吨)</w:t>
            </w:r>
            <w:r/>
          </w:p>
        </w:tc>
      </w:tr>
      <w:tr>
        <w:trPr>
          <w:trHeight w:val="717"/>
        </w:trPr>
        <w:tc>
          <w:tcPr>
            <w:shd w:val="clear" w:color="auto" w:fill="auto"/>
            <w:tcW w:w="2250" w:type="dxa"/>
            <w:vAlign w:val="center"/>
            <w:vMerge w:val="restart"/>
            <w:textDirection w:val="lrTb"/>
            <w:noWrap w:val="false"/>
          </w:tcPr>
          <w:p>
            <w:pPr>
              <w:jc w:val="center"/>
              <w:rPr>
                <w:rFonts w:hint="eastAsia" w:cs="Times New Roman" w:asciiTheme="minorEastAsia" w:hAnsiTheme="minorEastAsia" w:eastAsiaTheme="majorEastAsia"/>
                <w:bCs/>
                <w:color w:val="000000" w:themeColor="text1"/>
                <w:szCs w:val="28"/>
                <w14:textFill>
                  <w14:solidFill>
                    <w14:schemeClr w14:val="tx1"/>
                  </w14:solidFill>
                </w14:textFill>
              </w:rPr>
            </w:pPr>
            <w:r>
              <w:rPr>
                <w:rFonts w:hint="eastAsia" w:cs="Times New Roman" w:asciiTheme="minorEastAsia" w:hAnsiTheme="minorEastAsia" w:eastAsiaTheme="majorEastAsia"/>
                <w:b/>
                <w:bCs w:val="0"/>
                <w:color w:val="000000" w:themeColor="text1"/>
                <w:szCs w:val="28"/>
                <w14:textFill>
                  <w14:solidFill>
                    <w14:schemeClr w14:val="tx1"/>
                  </w14:solidFill>
                </w14:textFill>
              </w:rPr>
              <w:t xml:space="preserve">全生物降解地膜</w:t>
            </w:r>
            <w:r>
              <w:rPr>
                <w:rFonts w:hint="eastAsia" w:eastAsia="宋体"/>
                <w:lang w:eastAsia="zh-CN"/>
              </w:rPr>
              <w:t xml:space="preserve"> </w:t>
            </w:r>
            <w:r/>
          </w:p>
          <w:p>
            <w:pPr>
              <w:jc w:val="center"/>
              <w:rPr>
                <w:rFonts w:hint="eastAsia" w:eastAsia="宋体"/>
                <w:lang w:eastAsia="zh-CN"/>
              </w:rPr>
            </w:pPr>
            <w:r>
              <w:rPr>
                <w:rFonts w:hint="eastAsia" w:eastAsia="宋体"/>
                <w:lang w:eastAsia="zh-CN"/>
              </w:rPr>
              <w:t xml:space="preserve"> </w:t>
            </w:r>
            <w:r/>
          </w:p>
          <w:p>
            <w:pPr>
              <w:jc w:val="center"/>
              <w:rPr>
                <w:rFonts w:hint="eastAsia" w:ascii="Arial" w:hAnsi="Arial" w:eastAsia="宋体" w:cs="Arial"/>
                <w:color w:val="000000"/>
                <w:sz w:val="21"/>
                <w:szCs w:val="21"/>
                <w:lang w:val="en-US" w:eastAsia="zh-CN" w:bidi="ar-SA"/>
              </w:rPr>
            </w:pPr>
            <w:r>
              <w:rPr>
                <w:rFonts w:hint="eastAsia" w:eastAsia="宋体"/>
                <w:lang w:val="en-US" w:eastAsia="zh-CN"/>
              </w:rPr>
              <w:t xml:space="preserve"> </w:t>
            </w:r>
            <w:r/>
          </w:p>
          <w:p>
            <w:pPr>
              <w:jc w:val="center"/>
              <w:rPr>
                <w:rFonts w:hint="eastAsia" w:ascii="Arial" w:hAnsi="Arial" w:eastAsia="宋体" w:cs="Arial"/>
                <w:color w:val="000000"/>
                <w:sz w:val="21"/>
                <w:szCs w:val="21"/>
                <w:lang w:val="en-US" w:eastAsia="zh-CN" w:bidi="ar-SA"/>
              </w:rPr>
            </w:pPr>
            <w:r>
              <w:rPr>
                <w:rFonts w:hint="eastAsia" w:eastAsia="宋体"/>
                <w:lang w:val="en-US" w:eastAsia="zh-CN"/>
              </w:rPr>
              <w:t xml:space="preserve"> </w:t>
            </w:r>
            <w:r/>
          </w:p>
          <w:p>
            <w:pPr>
              <w:jc w:val="center"/>
              <w:rPr>
                <w:rFonts w:hint="eastAsia" w:ascii="宋体" w:hAnsi="宋体" w:eastAsia="宋体" w:cs="宋体"/>
                <w:color w:val="auto"/>
                <w:highlight w:val="none"/>
                <w:lang w:val="en-US" w:eastAsia="zh-CN"/>
              </w:rPr>
            </w:pPr>
            <w:r>
              <w:rPr>
                <w:rFonts w:hint="eastAsia" w:eastAsia="宋体"/>
                <w:lang w:val="en-US" w:eastAsia="zh-CN"/>
              </w:rPr>
              <w:t xml:space="preserve"> </w:t>
            </w:r>
            <w:r/>
          </w:p>
        </w:tc>
        <w:tc>
          <w:tcPr>
            <w:shd w:val="clear" w:color="auto" w:fill="auto"/>
            <w:tcW w:w="6653" w:type="dxa"/>
            <w:vAlign w:val="center"/>
            <w:textDirection w:val="lrTb"/>
            <w:noWrap w:val="false"/>
          </w:tcPr>
          <w:p>
            <w:pPr>
              <w:jc w:val="center"/>
              <w:rPr>
                <w:rFonts w:hint="eastAsia" w:cs="Times New Roman" w:asciiTheme="minorEastAsia" w:hAnsiTheme="minorEastAsia" w:eastAsiaTheme="minorEastAsia"/>
                <w:bCs/>
                <w:color w:val="auto"/>
                <w:szCs w:val="28"/>
                <w:lang w:val="en-US" w:eastAsia="zh-CN"/>
              </w:rPr>
            </w:pPr>
            <w:r>
              <w:rPr>
                <w:rFonts w:asciiTheme="minorEastAsia" w:hAnsiTheme="minorEastAsia" w:eastAsiaTheme="minorEastAsia" w:cstheme="majorBidi"/>
                <w:b/>
                <w:bCs/>
                <w:color w:val="000000"/>
                <w:szCs w:val="28"/>
              </w:rPr>
              <w:t xml:space="preserve">执行标准</w:t>
            </w:r>
            <w:r>
              <w:rPr>
                <w:rFonts w:hint="eastAsia" w:asciiTheme="minorEastAsia" w:hAnsiTheme="minorEastAsia" w:eastAsiaTheme="minorEastAsia" w:cstheme="majorBidi"/>
                <w:b/>
                <w:bCs/>
                <w:color w:val="000000"/>
                <w:szCs w:val="28"/>
                <w:lang w:eastAsia="zh-CN"/>
              </w:rPr>
              <w:t xml:space="preserve">：</w:t>
            </w:r>
            <w:r>
              <w:rPr>
                <w:rFonts w:hint="eastAsia" w:cs="Times New Roman" w:asciiTheme="minorEastAsia" w:hAnsiTheme="minorEastAsia" w:eastAsiaTheme="minorEastAsia"/>
                <w:bCs/>
                <w:color w:val="auto"/>
                <w:szCs w:val="28"/>
              </w:rPr>
              <w:t xml:space="preserve">严格按照</w:t>
            </w:r>
            <w:r>
              <w:rPr>
                <w:rFonts w:hint="eastAsia" w:cs="Times New Roman" w:asciiTheme="minorEastAsia" w:hAnsiTheme="minorEastAsia" w:eastAsiaTheme="minorEastAsia"/>
                <w:color w:val="auto"/>
                <w:szCs w:val="28"/>
              </w:rPr>
              <w:t xml:space="preserve">GB/T35795-2017国家标准</w:t>
            </w:r>
            <w:r>
              <w:rPr>
                <w:rFonts w:hint="eastAsia" w:cs="Times New Roman" w:asciiTheme="minorEastAsia" w:hAnsiTheme="minorEastAsia" w:eastAsiaTheme="minorEastAsia"/>
                <w:bCs/>
                <w:color w:val="auto"/>
                <w:szCs w:val="28"/>
              </w:rPr>
              <w:t xml:space="preserve">要求生产、包装及运输，所有技术、质量指标完全符合</w:t>
            </w:r>
            <w:r>
              <w:rPr>
                <w:rFonts w:hint="eastAsia" w:cs="Times New Roman" w:asciiTheme="minorEastAsia" w:hAnsiTheme="minorEastAsia" w:eastAsiaTheme="minorEastAsia"/>
                <w:color w:val="auto"/>
                <w:szCs w:val="28"/>
              </w:rPr>
              <w:t xml:space="preserve">GB/T35795-2017国家标准</w:t>
            </w:r>
            <w:r>
              <w:rPr>
                <w:rFonts w:hint="eastAsia" w:cs="Times New Roman" w:asciiTheme="minorEastAsia" w:hAnsiTheme="minorEastAsia" w:eastAsiaTheme="minorEastAsia"/>
                <w:bCs/>
                <w:color w:val="auto"/>
                <w:szCs w:val="28"/>
              </w:rPr>
              <w:t xml:space="preserve">。</w:t>
            </w:r>
            <w:r/>
          </w:p>
        </w:tc>
        <w:tc>
          <w:tcPr>
            <w:shd w:val="clear" w:color="auto" w:fill="auto"/>
            <w:tcW w:w="1423" w:type="dxa"/>
            <w:vAlign w:val="center"/>
            <w:vMerge w:val="restart"/>
            <w:textDirection w:val="lrTb"/>
            <w:noWrap w:val="false"/>
          </w:tcPr>
          <w:p>
            <w:pPr>
              <w:jc w:val="center"/>
              <w:keepLines w:val="0"/>
              <w:keepNext w:val="0"/>
              <w:widowControl/>
              <w:rPr>
                <w:rFonts w:hint="default" w:ascii="Arial" w:hAnsi="Arial" w:eastAsia="宋体" w:cs="Arial"/>
                <w:color w:val="auto"/>
                <w:sz w:val="21"/>
                <w:szCs w:val="21"/>
                <w:highlight w:val="none"/>
                <w:lang w:val="en-US" w:eastAsia="zh-CN" w:bidi="ar-SA"/>
              </w:rPr>
              <w:suppressLineNumbers w:val="0"/>
            </w:pPr>
            <w:r>
              <w:rPr>
                <w:rFonts w:hint="eastAsia" w:eastAsia="宋体" w:cs="Arial"/>
                <w:color w:val="000000"/>
                <w:sz w:val="21"/>
                <w:szCs w:val="21"/>
                <w:lang w:val="en-US" w:eastAsia="zh-CN" w:bidi="ar-SA"/>
              </w:rPr>
              <w:t xml:space="preserve">2</w:t>
            </w:r>
            <w:r>
              <w:rPr>
                <w:rFonts w:hint="eastAsia" w:cs="Arial"/>
                <w:color w:val="000000"/>
                <w:sz w:val="21"/>
                <w:szCs w:val="21"/>
                <w:lang w:val="en-US" w:eastAsia="zh-CN" w:bidi="ar-SA"/>
              </w:rPr>
              <w:t xml:space="preserve">5</w:t>
            </w:r>
            <w:r>
              <w:rPr>
                <w:rFonts w:hint="eastAsia" w:eastAsia="宋体" w:cs="Arial"/>
                <w:color w:val="000000"/>
                <w:sz w:val="21"/>
                <w:szCs w:val="21"/>
                <w:lang w:val="en-US" w:eastAsia="zh-CN" w:bidi="ar-SA"/>
              </w:rPr>
              <w:t xml:space="preserve">000.00</w:t>
            </w:r>
            <w:r/>
          </w:p>
        </w:tc>
      </w:tr>
      <w:tr>
        <w:trPr>
          <w:trHeight w:val="815"/>
        </w:trPr>
        <w:tc>
          <w:tcPr>
            <w:tcW w:w="2250" w:type="dxa"/>
            <w:vAlign w:val="center"/>
            <w:vMerge w:val="continue"/>
            <w:textDirection w:val="lrTb"/>
            <w:noWrap w:val="false"/>
          </w:tcPr>
          <w:p>
            <w:pPr>
              <w:jc w:val="center"/>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tc>
        <w:tc>
          <w:tcPr>
            <w:tcW w:w="6653" w:type="dxa"/>
            <w:vAlign w:val="center"/>
            <w:textDirection w:val="lrTb"/>
            <w:noWrap w:val="false"/>
          </w:tcPr>
          <w:p>
            <w:pPr>
              <w:jc w:val="center"/>
              <w:rPr>
                <w:rFonts w:hint="eastAsia" w:ascii="宋体" w:hAnsi="宋体" w:eastAsia="宋体" w:cs="宋体"/>
                <w:color w:val="auto"/>
                <w:highlight w:val="none"/>
                <w:lang w:eastAsia="zh-CN"/>
              </w:rPr>
            </w:pPr>
            <w:r>
              <w:rPr>
                <w:rFonts w:asciiTheme="minorEastAsia" w:hAnsiTheme="minorEastAsia" w:eastAsiaTheme="minorEastAsia" w:cstheme="majorBidi"/>
                <w:b/>
                <w:bCs/>
                <w:color w:val="000000"/>
                <w:szCs w:val="28"/>
              </w:rPr>
              <w:t xml:space="preserve">主要原料</w:t>
            </w:r>
            <w:r>
              <w:rPr>
                <w:rFonts w:hint="eastAsia" w:asciiTheme="minorEastAsia" w:hAnsiTheme="minorEastAsia" w:eastAsiaTheme="minorEastAsia" w:cstheme="majorBidi"/>
                <w:b/>
                <w:bCs/>
                <w:color w:val="000000"/>
                <w:szCs w:val="28"/>
                <w:lang w:eastAsia="zh-CN"/>
              </w:rPr>
              <w:t xml:space="preserve">：</w:t>
            </w:r>
            <w:r>
              <w:rPr>
                <w:rFonts w:hint="eastAsia" w:asciiTheme="minorEastAsia" w:hAnsiTheme="minorEastAsia" w:eastAsiaTheme="minorEastAsia" w:cstheme="majorBidi"/>
                <w:color w:val="000000"/>
                <w:szCs w:val="28"/>
              </w:rPr>
              <w:t xml:space="preserve">主要成分为具有完全降解特性的脂肪族聚酯、脂肪族-芳香族共聚酯，不含有聚乙烯、聚丙烯等烯烃类原料。</w:t>
            </w:r>
            <w:r/>
          </w:p>
        </w:tc>
        <w:tc>
          <w:tcPr>
            <w:tcW w:w="1423" w:type="dxa"/>
            <w:vAlign w:val="center"/>
            <w:vMerge w:val="continue"/>
            <w:textDirection w:val="lrTb"/>
            <w:noWrap w:val="false"/>
          </w:tcPr>
          <w:p>
            <w:pPr>
              <w:jc w:val="center"/>
              <w:keepLines w:val="0"/>
              <w:keepNext w:val="0"/>
              <w:widowControl/>
              <w:rPr>
                <w:color w:val="auto"/>
                <w:highlight w:val="none"/>
              </w:rPr>
              <w:suppressLineNumbers w:val="0"/>
            </w:pPr>
            <w:r>
              <w:rPr>
                <w:color w:val="auto"/>
                <w:highlight w:val="none"/>
              </w:rPr>
            </w:r>
            <w:r/>
          </w:p>
        </w:tc>
      </w:tr>
      <w:tr>
        <w:trPr>
          <w:trHeight w:val="485"/>
        </w:trPr>
        <w:tc>
          <w:tcPr>
            <w:shd w:val="clear" w:color="auto" w:fill="auto"/>
            <w:tcW w:w="2250" w:type="dxa"/>
            <w:vAlign w:val="center"/>
            <w:vMerge w:val="continue"/>
            <w:textDirection w:val="lrTb"/>
            <w:noWrap w:val="false"/>
          </w:tcPr>
          <w:p>
            <w:pPr>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shd w:val="clear" w:color="auto" w:fill="auto"/>
            <w:tcW w:w="6653" w:type="dxa"/>
            <w:vAlign w:val="center"/>
            <w:textDirection w:val="lrTb"/>
            <w:noWrap w:val="false"/>
          </w:tcPr>
          <w:p>
            <w:pPr>
              <w:jc w:val="both"/>
              <w:rPr>
                <w:rFonts w:hint="eastAsia" w:ascii="宋体" w:hAnsi="宋体" w:eastAsia="宋体" w:cs="宋体"/>
                <w:color w:val="auto"/>
                <w:sz w:val="21"/>
                <w:szCs w:val="21"/>
                <w:highlight w:val="none"/>
                <w:lang w:val="en-US" w:eastAsia="zh-CN" w:bidi="ar-SA"/>
              </w:rPr>
            </w:pPr>
            <w:r>
              <w:rPr>
                <w:rFonts w:asciiTheme="minorEastAsia" w:hAnsiTheme="minorEastAsia" w:eastAsiaTheme="minorEastAsia" w:cstheme="majorBidi"/>
                <w:b/>
                <w:bCs/>
                <w:color w:val="000000"/>
                <w:szCs w:val="28"/>
              </w:rPr>
              <w:t xml:space="preserve">有效</w:t>
            </w:r>
            <w:r>
              <w:rPr>
                <w:rFonts w:hint="eastAsia" w:asciiTheme="minorEastAsia" w:hAnsiTheme="minorEastAsia" w:eastAsiaTheme="minorEastAsia" w:cstheme="majorBidi"/>
                <w:b/>
                <w:bCs/>
                <w:color w:val="000000"/>
                <w:szCs w:val="28"/>
                <w:lang w:val="en-US" w:eastAsia="zh-CN"/>
              </w:rPr>
              <w:t xml:space="preserve">使用</w:t>
            </w:r>
            <w:r>
              <w:rPr>
                <w:rFonts w:asciiTheme="minorEastAsia" w:hAnsiTheme="minorEastAsia" w:eastAsiaTheme="minorEastAsia" w:cstheme="majorBidi"/>
                <w:b/>
                <w:bCs/>
                <w:color w:val="000000"/>
                <w:szCs w:val="28"/>
              </w:rPr>
              <w:t xml:space="preserve">时间</w:t>
            </w:r>
            <w:r>
              <w:rPr>
                <w:rFonts w:hint="eastAsia" w:asciiTheme="minorEastAsia" w:hAnsiTheme="minorEastAsia" w:eastAsiaTheme="minorEastAsia" w:cstheme="majorBidi"/>
                <w:b/>
                <w:bCs/>
                <w:color w:val="000000"/>
                <w:szCs w:val="28"/>
                <w:lang w:eastAsia="zh-CN"/>
              </w:rPr>
              <w:t xml:space="preserve">：</w:t>
            </w:r>
            <w:r>
              <w:rPr>
                <w:rFonts w:hint="eastAsia" w:cs="Times New Roman" w:asciiTheme="minorEastAsia" w:hAnsiTheme="minorEastAsia" w:eastAsiaTheme="minorEastAsia"/>
                <w:color w:val="auto"/>
                <w:szCs w:val="28"/>
              </w:rPr>
              <w:t xml:space="preserve">有效使用时间≥</w:t>
            </w:r>
            <w:r>
              <w:rPr>
                <w:rFonts w:hint="eastAsia" w:cs="Times New Roman" w:asciiTheme="minorEastAsia" w:hAnsiTheme="minorEastAsia"/>
                <w:color w:val="auto"/>
                <w:szCs w:val="28"/>
                <w:lang w:val="en-US" w:eastAsia="zh-CN"/>
              </w:rPr>
              <w:t xml:space="preserve">90天</w:t>
            </w:r>
            <w:r/>
          </w:p>
        </w:tc>
        <w:tc>
          <w:tcPr>
            <w:shd w:val="clear" w:color="auto" w:fill="auto"/>
            <w:tcW w:w="1423" w:type="dxa"/>
            <w:vAlign w:val="center"/>
            <w:vMerge w:val="continue"/>
            <w:textDirection w:val="lrTb"/>
            <w:noWrap w:val="false"/>
          </w:tcPr>
          <w:p>
            <w:pPr>
              <w:jc w:val="center"/>
              <w:keepLines w:val="0"/>
              <w:keepNext w:val="0"/>
              <w:widowControl/>
              <w:rPr>
                <w:rFonts w:hint="default" w:ascii="Arial" w:hAnsi="Arial" w:eastAsia="Arial" w:cs="Arial"/>
                <w:color w:val="auto"/>
                <w:sz w:val="21"/>
                <w:szCs w:val="21"/>
                <w:highlight w:val="none"/>
                <w:lang w:val="en-US" w:eastAsia="en-US" w:bidi="ar-SA"/>
              </w:rPr>
              <w:suppressLineNumbers w:val="0"/>
            </w:pPr>
            <w:r>
              <w:rPr>
                <w:rFonts w:hint="default" w:ascii="Arial" w:hAnsi="Arial" w:eastAsia="Arial" w:cs="Arial"/>
                <w:color w:val="auto"/>
                <w:sz w:val="21"/>
                <w:szCs w:val="21"/>
                <w:highlight w:val="none"/>
                <w:lang w:val="en-US" w:eastAsia="en-US" w:bidi="ar-SA"/>
              </w:rPr>
            </w:r>
            <w:r/>
          </w:p>
        </w:tc>
      </w:tr>
      <w:tr>
        <w:trPr>
          <w:trHeight w:val="1199"/>
        </w:trPr>
        <w:tc>
          <w:tcPr>
            <w:shd w:val="clear" w:color="auto" w:fill="auto"/>
            <w:tcW w:w="2250" w:type="dxa"/>
            <w:vAlign w:val="center"/>
            <w:vMerge w:val="continue"/>
            <w:textDirection w:val="lrTb"/>
            <w:noWrap w:val="false"/>
          </w:tcPr>
          <w:p>
            <w:pPr>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shd w:val="clear" w:color="auto" w:fill="auto"/>
            <w:tcW w:w="6653" w:type="dxa"/>
            <w:vAlign w:val="center"/>
            <w:textDirection w:val="lrTb"/>
            <w:noWrap w:val="false"/>
          </w:tcPr>
          <w:p>
            <w:pPr>
              <w:ind w:right="42"/>
              <w:widowControl/>
              <w:rPr>
                <w:rFonts w:hint="default" w:cs="Times New Roman" w:asciiTheme="minorEastAsia" w:hAnsiTheme="minorEastAsia"/>
                <w:color w:val="auto"/>
                <w:szCs w:val="28"/>
                <w:lang w:val="en-US" w:eastAsia="zh-CN"/>
              </w:rPr>
            </w:pPr>
            <w:r>
              <w:rPr>
                <w:rFonts w:asciiTheme="minorEastAsia" w:hAnsiTheme="minorEastAsia" w:eastAsiaTheme="minorEastAsia" w:cstheme="majorBidi"/>
                <w:b/>
                <w:bCs/>
                <w:color w:val="000000"/>
                <w:szCs w:val="28"/>
              </w:rPr>
              <w:t xml:space="preserve">地膜规格</w:t>
            </w:r>
            <w:r>
              <w:rPr>
                <w:rFonts w:hint="eastAsia" w:asciiTheme="minorEastAsia" w:hAnsiTheme="minorEastAsia" w:eastAsiaTheme="minorEastAsia" w:cstheme="majorBidi"/>
                <w:b/>
                <w:bCs/>
                <w:color w:val="000000"/>
                <w:szCs w:val="28"/>
                <w:lang w:eastAsia="zh-CN"/>
              </w:rPr>
              <w:t xml:space="preserve">：</w:t>
            </w:r>
            <w:r>
              <w:rPr>
                <w:rFonts w:hint="eastAsia" w:asciiTheme="minorEastAsia" w:hAnsiTheme="minorEastAsia" w:eastAsiaTheme="minorEastAsia" w:cstheme="majorBidi"/>
                <w:b/>
                <w:bCs/>
                <w:color w:val="000000"/>
                <w:szCs w:val="28"/>
                <w:lang w:val="en-US" w:eastAsia="zh-CN"/>
              </w:rPr>
              <w:t xml:space="preserve">    </w:t>
            </w:r>
            <w:r>
              <w:rPr>
                <w:rFonts w:hint="eastAsia" w:cs="Times New Roman" w:asciiTheme="minorEastAsia" w:hAnsiTheme="minorEastAsia"/>
                <w:color w:val="auto"/>
                <w:szCs w:val="28"/>
                <w:lang w:val="en-US" w:eastAsia="zh-CN"/>
              </w:rPr>
              <w:t xml:space="preserve">宽度：90~120 厘米(具体根据甲方实际需求）</w:t>
            </w:r>
            <w:r/>
          </w:p>
          <w:p>
            <w:pPr>
              <w:ind w:right="42" w:firstLine="1470"/>
              <w:widowControl/>
              <w:rPr>
                <w:rFonts w:hint="default" w:cs="Times New Roman" w:asciiTheme="minorEastAsia" w:hAnsiTheme="minorEastAsia" w:eastAsiaTheme="minorEastAsia"/>
                <w:color w:val="auto"/>
                <w:szCs w:val="28"/>
                <w:lang w:val="en-US" w:eastAsia="zh-CN"/>
              </w:rPr>
            </w:pPr>
            <w:r>
              <w:rPr>
                <w:rFonts w:hint="eastAsia" w:cs="Times New Roman" w:asciiTheme="minorEastAsia" w:hAnsiTheme="minorEastAsia" w:eastAsiaTheme="minorEastAsia"/>
                <w:color w:val="auto"/>
                <w:szCs w:val="28"/>
              </w:rPr>
              <w:t xml:space="preserve">厚度:</w:t>
            </w:r>
            <w:r>
              <w:rPr>
                <w:rFonts w:hint="eastAsia" w:cs="Times New Roman" w:asciiTheme="minorEastAsia" w:hAnsiTheme="minorEastAsia"/>
                <w:color w:val="auto"/>
                <w:szCs w:val="28"/>
                <w:lang w:val="en-US" w:eastAsia="zh-CN"/>
              </w:rPr>
              <w:t xml:space="preserve">0.01mm</w:t>
            </w:r>
            <w:r/>
          </w:p>
          <w:p>
            <w:pPr>
              <w:ind w:right="42" w:firstLine="1470"/>
              <w:widowControl/>
              <w:rPr>
                <w:rFonts w:hint="default" w:cs="Times New Roman" w:asciiTheme="minorEastAsia" w:hAnsiTheme="minorEastAsia"/>
                <w:color w:val="auto"/>
                <w:szCs w:val="28"/>
                <w:lang w:val="en-US" w:eastAsia="zh-CN"/>
              </w:rPr>
            </w:pPr>
            <w:r>
              <w:rPr>
                <w:rFonts w:hint="eastAsia" w:cs="Times New Roman" w:asciiTheme="minorEastAsia" w:hAnsiTheme="minorEastAsia"/>
                <w:color w:val="auto"/>
                <w:szCs w:val="28"/>
                <w:lang w:val="en-US" w:eastAsia="zh-CN"/>
              </w:rPr>
              <w:t xml:space="preserve">每卷重量：10Kg/卷（自身净重，不含轴重、外包装等)</w:t>
            </w:r>
            <w:r/>
          </w:p>
          <w:p>
            <w:pPr>
              <w:ind w:firstLine="1470"/>
              <w:jc w:val="both"/>
              <w:rPr>
                <w:rFonts w:hint="eastAsia" w:ascii="宋体" w:hAnsi="宋体" w:eastAsia="宋体" w:cs="宋体"/>
                <w:color w:val="auto"/>
                <w:sz w:val="21"/>
                <w:szCs w:val="21"/>
                <w:highlight w:val="none"/>
                <w:lang w:val="en-US" w:eastAsia="zh-CN" w:bidi="ar-SA"/>
              </w:rPr>
            </w:pPr>
            <w:r>
              <w:rPr>
                <w:rFonts w:hint="eastAsia" w:cs="Times New Roman" w:asciiTheme="minorEastAsia" w:hAnsiTheme="minorEastAsia"/>
                <w:color w:val="auto"/>
                <w:szCs w:val="28"/>
                <w:lang w:val="en-US" w:eastAsia="zh-CN"/>
              </w:rPr>
              <w:t xml:space="preserve">颜色：黑色</w:t>
            </w:r>
            <w:r/>
          </w:p>
        </w:tc>
        <w:tc>
          <w:tcPr>
            <w:shd w:val="clear" w:color="auto" w:fill="auto"/>
            <w:tcW w:w="1423" w:type="dxa"/>
            <w:vAlign w:val="center"/>
            <w:vMerge w:val="continue"/>
            <w:textDirection w:val="lrTb"/>
            <w:noWrap w:val="false"/>
          </w:tcPr>
          <w:p>
            <w:pPr>
              <w:jc w:val="center"/>
              <w:keepLines w:val="0"/>
              <w:keepNext w:val="0"/>
              <w:widowControl/>
              <w:rPr>
                <w:rFonts w:hint="default" w:ascii="Arial" w:hAnsi="Arial" w:eastAsia="Arial" w:cs="Arial"/>
                <w:color w:val="auto"/>
                <w:sz w:val="21"/>
                <w:szCs w:val="21"/>
                <w:highlight w:val="none"/>
                <w:lang w:val="en-US" w:eastAsia="en-US" w:bidi="ar-SA"/>
              </w:rPr>
              <w:suppressLineNumbers w:val="0"/>
            </w:pPr>
            <w:r>
              <w:rPr>
                <w:rFonts w:hint="default" w:ascii="Arial" w:hAnsi="Arial" w:eastAsia="Arial" w:cs="Arial"/>
                <w:color w:val="auto"/>
                <w:sz w:val="21"/>
                <w:szCs w:val="21"/>
                <w:highlight w:val="none"/>
                <w:lang w:val="en-US" w:eastAsia="en-US" w:bidi="ar-SA"/>
              </w:rPr>
            </w:r>
            <w:r/>
          </w:p>
        </w:tc>
      </w:tr>
      <w:tr>
        <w:trPr>
          <w:trHeight w:val="1834"/>
        </w:trPr>
        <w:tc>
          <w:tcPr>
            <w:tcW w:w="2250" w:type="dxa"/>
            <w:vAlign w:val="center"/>
            <w:vMerge w:val="continue"/>
            <w:textDirection w:val="lrTb"/>
            <w:noWrap w:val="false"/>
          </w:tcPr>
          <w:p>
            <w:pPr>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tc>
        <w:tc>
          <w:tcPr>
            <w:tcW w:w="6653" w:type="dxa"/>
            <w:vAlign w:val="center"/>
            <w:textDirection w:val="lrTb"/>
            <w:noWrap w:val="false"/>
          </w:tcPr>
          <w:p>
            <w:pPr>
              <w:ind w:right="42"/>
              <w:widowControl/>
              <w:rPr>
                <w:rFonts w:cs="Times New Roman" w:asciiTheme="minorEastAsia" w:hAnsiTheme="minorEastAsia" w:eastAsiaTheme="minorEastAsia"/>
                <w:color w:val="auto"/>
                <w:szCs w:val="28"/>
              </w:rPr>
            </w:pPr>
            <w:r>
              <w:rPr>
                <w:rFonts w:asciiTheme="minorEastAsia" w:hAnsiTheme="minorEastAsia" w:eastAsiaTheme="minorEastAsia" w:cstheme="majorBidi"/>
                <w:b/>
                <w:bCs/>
                <w:color w:val="000000"/>
                <w:szCs w:val="28"/>
              </w:rPr>
              <w:t xml:space="preserve">技术指标</w:t>
            </w:r>
            <w:r>
              <w:rPr>
                <w:rFonts w:hint="eastAsia" w:asciiTheme="minorEastAsia" w:hAnsiTheme="minorEastAsia" w:eastAsiaTheme="minorEastAsia" w:cstheme="majorBidi"/>
                <w:b/>
                <w:bCs/>
                <w:color w:val="000000"/>
                <w:szCs w:val="28"/>
                <w:lang w:eastAsia="zh-CN"/>
              </w:rPr>
              <w:t xml:space="preserve">：</w:t>
            </w:r>
            <w:r>
              <w:rPr>
                <w:rFonts w:hint="eastAsia" w:cs="Times New Roman" w:asciiTheme="minorEastAsia" w:hAnsiTheme="minorEastAsia" w:eastAsiaTheme="minorEastAsia"/>
                <w:color w:val="auto"/>
                <w:szCs w:val="28"/>
              </w:rPr>
              <w:t xml:space="preserve">1.水蒸气透过量应＜800g/（m</w:t>
            </w:r>
            <w:r>
              <w:rPr>
                <w:rFonts w:hint="eastAsia" w:cs="Times New Roman" w:asciiTheme="minorEastAsia" w:hAnsiTheme="minorEastAsia" w:eastAsiaTheme="minorEastAsia"/>
                <w:color w:val="auto"/>
                <w:szCs w:val="28"/>
                <w:vertAlign w:val="superscript"/>
              </w:rPr>
              <w:t xml:space="preserve">2 </w:t>
            </w:r>
            <w:r>
              <w:rPr>
                <w:rFonts w:hint="eastAsia" w:cs="Times New Roman" w:asciiTheme="minorEastAsia" w:hAnsiTheme="minorEastAsia" w:eastAsiaTheme="minorEastAsia"/>
                <w:color w:val="auto"/>
                <w:szCs w:val="28"/>
              </w:rPr>
              <w:t xml:space="preserve">·24h）；</w:t>
            </w:r>
            <w:r/>
          </w:p>
          <w:p>
            <w:pPr>
              <w:ind w:left="42" w:right="42" w:firstLine="976"/>
              <w:widowControl/>
              <w:rPr>
                <w:rFonts w:cs="Times New Roman" w:asciiTheme="minorEastAsia" w:hAnsiTheme="minorEastAsia" w:eastAsiaTheme="minorEastAsia"/>
                <w:color w:val="auto"/>
                <w:szCs w:val="28"/>
              </w:rPr>
            </w:pPr>
            <w:r>
              <w:rPr>
                <w:rFonts w:hint="eastAsia" w:cs="Times New Roman" w:asciiTheme="minorEastAsia" w:hAnsiTheme="minorEastAsia" w:eastAsiaTheme="minorEastAsia"/>
                <w:color w:val="auto"/>
                <w:szCs w:val="28"/>
              </w:rPr>
              <w:t xml:space="preserve">2.有机成分≥51%；相对生物分解率≥90%；</w:t>
            </w:r>
            <w:r/>
          </w:p>
          <w:p>
            <w:pPr>
              <w:ind w:left="42" w:right="42" w:firstLine="976"/>
              <w:widowControl/>
              <w:rPr>
                <w:rFonts w:hint="default" w:cs="Times New Roman" w:asciiTheme="minorEastAsia" w:hAnsiTheme="minorEastAsia" w:eastAsiaTheme="minorEastAsia"/>
                <w:b/>
                <w:color w:val="ff0000"/>
                <w:szCs w:val="28"/>
                <w:lang w:val="en-US" w:eastAsia="zh-CN"/>
              </w:rPr>
            </w:pPr>
            <w:r>
              <w:rPr>
                <w:rFonts w:hint="eastAsia" w:cs="Times New Roman" w:asciiTheme="minorEastAsia" w:hAnsiTheme="minorEastAsia" w:eastAsiaTheme="minorEastAsia"/>
                <w:color w:val="auto"/>
                <w:szCs w:val="28"/>
              </w:rPr>
              <w:t xml:space="preserve">3.拉伸负荷（纵、横向）≥</w:t>
            </w:r>
            <w:r>
              <w:rPr>
                <w:rFonts w:hint="eastAsia" w:cs="Times New Roman" w:asciiTheme="minorEastAsia" w:hAnsiTheme="minorEastAsia"/>
                <w:color w:val="auto"/>
                <w:szCs w:val="28"/>
                <w:lang w:val="en-US" w:eastAsia="zh-CN"/>
              </w:rPr>
              <w:t xml:space="preserve"> 2.0 N；</w:t>
            </w:r>
            <w:r/>
          </w:p>
          <w:p>
            <w:pPr>
              <w:ind w:left="42" w:right="42" w:firstLine="976"/>
              <w:widowControl/>
              <w:rPr>
                <w:rFonts w:hint="eastAsia" w:cs="Times New Roman" w:asciiTheme="minorEastAsia" w:hAnsiTheme="minorEastAsia" w:eastAsiaTheme="minorEastAsia"/>
                <w:color w:val="auto"/>
                <w:szCs w:val="28"/>
              </w:rPr>
            </w:pPr>
            <w:r>
              <w:rPr>
                <w:rFonts w:hint="eastAsia" w:cs="Times New Roman" w:asciiTheme="minorEastAsia" w:hAnsiTheme="minorEastAsia" w:eastAsiaTheme="minorEastAsia"/>
                <w:color w:val="auto"/>
                <w:szCs w:val="28"/>
              </w:rPr>
              <w:t xml:space="preserve">4.断裂标称应变（纵向）≥</w:t>
            </w:r>
            <w:r>
              <w:rPr>
                <w:rFonts w:hint="eastAsia" w:cs="Times New Roman" w:asciiTheme="minorEastAsia" w:hAnsiTheme="minorEastAsia"/>
                <w:color w:val="auto"/>
                <w:szCs w:val="28"/>
                <w:lang w:val="en-US" w:eastAsia="zh-CN"/>
              </w:rPr>
              <w:t xml:space="preserve"> 150 </w:t>
            </w:r>
            <w:r>
              <w:rPr>
                <w:rFonts w:hint="eastAsia" w:cs="Times New Roman" w:asciiTheme="minorEastAsia" w:hAnsiTheme="minorEastAsia" w:eastAsiaTheme="minorEastAsia"/>
                <w:color w:val="auto"/>
                <w:szCs w:val="28"/>
              </w:rPr>
              <w:t xml:space="preserve">%；</w:t>
            </w:r>
            <w:r/>
          </w:p>
          <w:p>
            <w:pPr>
              <w:ind w:left="42" w:right="42" w:firstLine="976"/>
              <w:widowControl/>
              <w:rPr>
                <w:rFonts w:cs="Times New Roman" w:asciiTheme="minorEastAsia" w:hAnsiTheme="minorEastAsia" w:eastAsiaTheme="minorEastAsia"/>
                <w:color w:val="auto"/>
                <w:szCs w:val="28"/>
              </w:rPr>
            </w:pPr>
            <w:r>
              <w:rPr>
                <w:rFonts w:hint="eastAsia" w:cs="Times New Roman" w:asciiTheme="minorEastAsia" w:hAnsiTheme="minorEastAsia" w:eastAsiaTheme="minorEastAsia"/>
                <w:color w:val="auto"/>
                <w:szCs w:val="28"/>
              </w:rPr>
              <w:t xml:space="preserve">5.断裂标称应变（横向）≥</w:t>
            </w:r>
            <w:r>
              <w:rPr>
                <w:rFonts w:hint="eastAsia" w:cs="Times New Roman" w:asciiTheme="minorEastAsia" w:hAnsiTheme="minorEastAsia"/>
                <w:color w:val="auto"/>
                <w:szCs w:val="28"/>
                <w:lang w:val="en-US" w:eastAsia="zh-CN"/>
              </w:rPr>
              <w:t xml:space="preserve"> 250 </w:t>
            </w:r>
            <w:r>
              <w:rPr>
                <w:rFonts w:hint="eastAsia" w:cs="Times New Roman" w:asciiTheme="minorEastAsia" w:hAnsiTheme="minorEastAsia" w:eastAsiaTheme="minorEastAsia"/>
                <w:color w:val="auto"/>
                <w:szCs w:val="28"/>
              </w:rPr>
              <w:t xml:space="preserve">%；</w:t>
            </w:r>
            <w:r/>
          </w:p>
          <w:p>
            <w:pPr>
              <w:ind w:firstLine="1050"/>
              <w:jc w:val="both"/>
              <w:rPr>
                <w:rFonts w:hint="eastAsia" w:ascii="宋体" w:hAnsi="宋体" w:eastAsia="宋体" w:cs="宋体"/>
                <w:color w:val="auto"/>
                <w:highlight w:val="none"/>
                <w:lang w:val="en-US" w:eastAsia="zh-CN"/>
              </w:rPr>
            </w:pPr>
            <w:r>
              <w:rPr>
                <w:rFonts w:hint="eastAsia" w:cs="Times New Roman" w:asciiTheme="minorEastAsia" w:hAnsiTheme="minorEastAsia" w:eastAsiaTheme="minorEastAsia"/>
                <w:color w:val="auto"/>
                <w:szCs w:val="28"/>
              </w:rPr>
              <w:t xml:space="preserve">6.直角撕裂负荷（纵、横向）≥</w:t>
            </w:r>
            <w:r>
              <w:rPr>
                <w:rFonts w:hint="eastAsia" w:cs="Times New Roman" w:asciiTheme="minorEastAsia" w:hAnsiTheme="minorEastAsia"/>
                <w:color w:val="auto"/>
                <w:szCs w:val="28"/>
                <w:lang w:val="en-US" w:eastAsia="zh-CN"/>
              </w:rPr>
              <w:t xml:space="preserve"> 0.8 </w:t>
            </w:r>
            <w:r>
              <w:rPr>
                <w:rFonts w:hint="eastAsia" w:cs="Times New Roman" w:asciiTheme="minorEastAsia" w:hAnsiTheme="minorEastAsia" w:eastAsiaTheme="minorEastAsia"/>
                <w:color w:val="auto"/>
                <w:szCs w:val="28"/>
              </w:rPr>
              <w:t xml:space="preserve">N。</w:t>
            </w:r>
            <w:r/>
          </w:p>
        </w:tc>
        <w:tc>
          <w:tcPr>
            <w:tcW w:w="1423" w:type="dxa"/>
            <w:vAlign w:val="center"/>
            <w:vMerge w:val="continue"/>
            <w:textDirection w:val="lrTb"/>
            <w:noWrap w:val="false"/>
          </w:tcPr>
          <w:p>
            <w:pPr>
              <w:jc w:val="center"/>
              <w:rPr>
                <w:rFonts w:hint="default"/>
                <w:color w:val="auto"/>
                <w:highlight w:val="none"/>
                <w:lang w:val="en-US"/>
              </w:rPr>
            </w:pPr>
            <w:r>
              <w:rPr>
                <w:rFonts w:hint="default"/>
                <w:color w:val="auto"/>
                <w:highlight w:val="none"/>
                <w:lang w:val="en-US"/>
              </w:rPr>
            </w:r>
            <w:r/>
          </w:p>
        </w:tc>
      </w:tr>
      <w:tr>
        <w:trPr>
          <w:trHeight w:val="734"/>
        </w:trPr>
        <w:tc>
          <w:tcPr>
            <w:tcW w:w="2250" w:type="dxa"/>
            <w:vAlign w:val="center"/>
            <w:vMerge w:val="continue"/>
            <w:textDirection w:val="lrTb"/>
            <w:noWrap w:val="false"/>
          </w:tcPr>
          <w:p>
            <w:pPr>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tc>
        <w:tc>
          <w:tcPr>
            <w:tcW w:w="6653" w:type="dxa"/>
            <w:vAlign w:val="center"/>
            <w:textDirection w:val="lrTb"/>
            <w:noWrap w:val="false"/>
          </w:tcPr>
          <w:p>
            <w:pPr>
              <w:jc w:val="center"/>
              <w:rPr>
                <w:rFonts w:hint="eastAsia" w:ascii="宋体" w:hAnsi="宋体" w:eastAsia="宋体" w:cs="宋体"/>
                <w:color w:val="auto"/>
                <w:szCs w:val="28"/>
                <w:highlight w:val="none"/>
              </w:rPr>
            </w:pPr>
            <w:r>
              <w:rPr>
                <w:rFonts w:hint="eastAsia" w:cs="Times New Roman" w:asciiTheme="minorEastAsia" w:hAnsiTheme="minorEastAsia" w:eastAsiaTheme="minorEastAsia"/>
                <w:color w:val="auto"/>
                <w:szCs w:val="28"/>
              </w:rPr>
              <w:t xml:space="preserve">售后服务期限：1年。</w:t>
            </w:r>
            <w:r/>
          </w:p>
        </w:tc>
        <w:tc>
          <w:tcPr>
            <w:tcW w:w="1423" w:type="dxa"/>
            <w:vAlign w:val="center"/>
            <w:vMerge w:val="continue"/>
            <w:textDirection w:val="lrTb"/>
            <w:noWrap w:val="false"/>
          </w:tcPr>
          <w:p>
            <w:pPr>
              <w:jc w:val="center"/>
              <w:rPr>
                <w:rFonts w:hint="default"/>
                <w:color w:val="auto"/>
                <w:highlight w:val="none"/>
                <w:lang w:val="en-US"/>
              </w:rPr>
            </w:pPr>
            <w:r>
              <w:rPr>
                <w:rFonts w:hint="default"/>
                <w:color w:val="auto"/>
                <w:highlight w:val="none"/>
                <w:lang w:val="en-US"/>
              </w:rPr>
            </w:r>
            <w:r/>
          </w:p>
        </w:tc>
      </w:tr>
    </w:tbl>
    <w:p>
      <w:pPr>
        <w:ind w:firstLine="420"/>
        <w:jc w:val="left"/>
        <w:keepLines/>
        <w:keepNext/>
        <w:spacing w:line="360" w:lineRule="auto"/>
        <w:rPr>
          <w:rFonts w:hint="eastAsia" w:ascii="宋体" w:hAnsi="宋体" w:eastAsia="宋体" w:cs="宋体"/>
          <w:color w:val="auto"/>
          <w:szCs w:val="21"/>
          <w:highlight w:val="none"/>
        </w:rPr>
        <w:outlineLvl w:val="1"/>
      </w:pPr>
      <w:r>
        <w:rPr>
          <w:rFonts w:hint="eastAsia" w:ascii="宋体" w:hAnsi="宋体" w:eastAsia="宋体" w:cs="宋体"/>
          <w:color w:val="auto"/>
          <w:szCs w:val="21"/>
          <w:highlight w:val="none"/>
        </w:rPr>
        <w:t xml:space="preserve">说明：证明材料有要求的按要求提供证明材料，没有要求的也可以使用生产厂家官方网站截图或产品白皮书或第三方机构检验报告或其他权威机构出具的证明材料。经评委审核证明材料有效，视为满足；未提供有效证明材料或证明材料中内容与所填报指标不一致的，该指标按不满足处理。</w:t>
      </w:r>
      <w:r/>
    </w:p>
    <w:p>
      <w:pPr>
        <w:pStyle w:val="734"/>
        <w:ind w:firstLine="420"/>
        <w:spacing w:after="0" w:line="360" w:lineRule="auto"/>
        <w:rPr>
          <w:rFonts w:hint="eastAsia" w:ascii="宋体" w:hAnsi="宋体" w:eastAsia="宋体" w:cs="宋体"/>
          <w:b/>
          <w:bCs/>
          <w:color w:val="auto"/>
          <w:highlight w:val="none"/>
        </w:rPr>
      </w:pPr>
      <w:r>
        <w:rPr>
          <w:rFonts w:hint="eastAsia" w:ascii="宋体" w:hAnsi="宋体" w:eastAsia="宋体" w:cs="宋体"/>
          <w:color w:val="auto"/>
          <w:szCs w:val="21"/>
          <w:highlight w:val="none"/>
        </w:rPr>
        <w:t xml:space="preserve">★</w:t>
      </w:r>
      <w:r>
        <w:rPr>
          <w:rFonts w:hint="eastAsia" w:ascii="宋体" w:hAnsi="宋体" w:eastAsia="宋体" w:cs="宋体"/>
          <w:b/>
          <w:bCs/>
          <w:color w:val="auto"/>
          <w:highlight w:val="none"/>
        </w:rPr>
        <w:t xml:space="preserve">四、商务条款</w:t>
      </w:r>
      <w:r/>
    </w:p>
    <w:p>
      <w:pPr>
        <w:ind w:firstLine="420"/>
        <w:spacing w:line="440" w:lineRule="exact"/>
        <w:rPr>
          <w:rFonts w:hint="eastAsia" w:ascii="宋体" w:hAnsi="宋体" w:eastAsia="宋体" w:cs="宋体"/>
          <w:color w:val="auto"/>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1、供货期：合同签订之日起</w:t>
      </w: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个月内完成供货</w:t>
      </w:r>
      <w:r>
        <w:rPr>
          <w:rFonts w:hint="eastAsia" w:ascii="宋体" w:hAnsi="宋体" w:eastAsia="宋体" w:cs="宋体"/>
          <w:color w:val="auto"/>
          <w:szCs w:val="21"/>
          <w:highlight w:val="none"/>
          <w:lang w:eastAsia="zh-CN"/>
        </w:rPr>
        <w:t xml:space="preserve">。</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2、包装运输要求：</w:t>
      </w:r>
      <w:r/>
    </w:p>
    <w:p>
      <w:pPr>
        <w:ind w:firstLine="24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投标人须提供经合法渠道进货的全新、未使用过的原装合格正品，符合国家质量检测标准，并完全符合采购需求规定的质量和性能的要求，产品内外包装完好。若所供产品经质量检测机构检测认定质量不合格、发生知识产权纠纷或其他法律纠纷等情况，造成的损失和后果由投标人负全责。</w:t>
      </w:r>
      <w:r/>
    </w:p>
    <w:p>
      <w:pPr>
        <w:ind w:firstLine="24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投标人应按合同中规定的时间和地点、采购人提供的交货明细清单中地膜规格和数量的要求直接运输至采购人指定地点交付货物。送货地点分散，数量规格较多，投标人需配备专业的运输车辆及熟悉投标产品的相关配送货的人员。</w:t>
      </w:r>
      <w:r/>
    </w:p>
    <w:p>
      <w:pPr>
        <w:ind w:firstLine="24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（3）投标人在本项目实施过程中，达到安全无事故。若造成任何安全事故等不良后果，由投标人负责。在项目实施过程中涉及的有关矛盾由投标人自主解决，采购人负责协调。</w:t>
      </w:r>
      <w:r/>
    </w:p>
    <w:p>
      <w:pPr>
        <w:ind w:firstLine="24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3、质保及售后服务要求： </w:t>
      </w:r>
      <w:r/>
    </w:p>
    <w:p>
      <w:pPr>
        <w:ind w:firstLine="24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（1）质保期：产品验收合格使用之日起8个月。在质保期内该产品出现任何质量问题（人为除外），中标人须无条件更换，由此产生的所有费用由投标人承担。</w:t>
      </w:r>
      <w:r/>
    </w:p>
    <w:p>
      <w:pPr>
        <w:ind w:firstLine="24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（2）投标人提供24小时售后服务，并提供专门负责人联系电话。投标人在接到电话后，2小时内响应，48小时以内到达现场处理，由此产生的所有费用由投标人承担。 </w:t>
      </w:r>
      <w:r/>
    </w:p>
    <w:p>
      <w:pPr>
        <w:ind w:firstLine="24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（3）在产品使用期间，投标人应提供专业的培训服务，并免费提供关于详尽的培训材料，指导农户的使用培训不少于2次（每次不少于2小时）。一般技术培训不得限制人数。</w:t>
      </w:r>
      <w:r/>
    </w:p>
    <w:p>
      <w:pPr>
        <w:ind w:firstLine="24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（4）投标人应保证，如能中标，采购人在使用中标货物时，免受第三方提出的侵犯其专利权、商标权或工业设计权的起诉。</w:t>
      </w:r>
      <w:r/>
    </w:p>
    <w:p>
      <w:pPr>
        <w:ind w:firstLine="24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4、验收要求：</w:t>
      </w:r>
      <w:r/>
    </w:p>
    <w:p>
      <w:pPr>
        <w:ind w:firstLine="24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（1）投标人必须按照采购人指定地点交付货物，并全程安排专人负责，直到本次项目验收结束。验收所需的工具、仪器及辅助材料由投标人自行解决。</w:t>
      </w:r>
      <w:r/>
    </w:p>
    <w:p>
      <w:pPr>
        <w:ind w:firstLine="24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投标人须按合同要求配合采购人对全部货物的型号、规格、数量、外形、包装及资料、文件（如合格证、装箱单、质保单、随箱介质等）进行验收；验收时各镇（区、街道）项目对接负责人必须在现场，并进行书面签收确认。</w:t>
      </w:r>
      <w:r/>
    </w:p>
    <w:p>
      <w:pPr>
        <w:ind w:firstLine="24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（3）当初验时出现不符合招标文件和合同要求的严重质量问题时，采购人保留索赔及退货权利。</w:t>
      </w:r>
      <w:r/>
    </w:p>
    <w:p>
      <w:pPr>
        <w:ind w:firstLine="24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（4）当出现货物损坏、数量不全、规格不符等问题时，由投标人负责解决。</w:t>
      </w:r>
      <w:r/>
    </w:p>
    <w:p>
      <w:pPr>
        <w:ind w:firstLine="24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（5）货物验收通过后，由采购人开具到货验收单，一式三份，采购人、各镇（区、街道）项目对接负责人、投标人各执一份。</w:t>
      </w:r>
      <w:r/>
    </w:p>
    <w:p>
      <w:pPr>
        <w:ind w:firstLine="24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在产品使用过程中，采购人可根据实际使用农户反馈的情况对产品质量进行抽检，投标人、采购人双方共同协商指定一家权威机构进行检测，投标人承担所有检测费用。如检测结果不符合国家标准要求，则由投标人和农户协商赔偿事宜。</w:t>
      </w:r>
      <w:r/>
    </w:p>
    <w:p>
      <w:pPr>
        <w:ind w:firstLine="24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（7）验收情况作为支付货款的依据。</w:t>
      </w:r>
      <w:r/>
    </w:p>
    <w:p>
      <w:pPr>
        <w:ind w:firstLine="24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5、其他要求</w:t>
      </w:r>
      <w:r/>
    </w:p>
    <w:p>
      <w:pPr>
        <w:ind w:firstLine="24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注：对采购需求部分的询问、质疑请向采购人提出，询问、质疑由采购人负责解释。</w:t>
      </w:r>
      <w:r/>
    </w:p>
    <w:p>
      <w:pPr>
        <w:pStyle w:val="716"/>
        <w:ind w:firstLine="210"/>
        <w:jc w:val="both"/>
        <w:keepNext w:val="0"/>
        <w:spacing w:line="360" w:lineRule="auto"/>
        <w:rPr>
          <w:rFonts w:hint="eastAsia" w:ascii="宋体" w:hAnsi="宋体" w:eastAsia="宋体" w:cs="宋体"/>
          <w:b w:val="0"/>
          <w:color w:val="auto"/>
          <w:sz w:val="21"/>
          <w:szCs w:val="21"/>
          <w:highlight w:val="none"/>
          <w:lang w:val="en-US" w:eastAsia="zh-CN" w:bidi="ar-SA"/>
        </w:rPr>
      </w:pPr>
      <w:r>
        <w:rPr>
          <w:rFonts w:hint="eastAsia" w:ascii="宋体" w:hAnsi="宋体" w:eastAsia="宋体" w:cs="宋体"/>
          <w:b w:val="0"/>
          <w:color w:val="auto"/>
          <w:sz w:val="21"/>
          <w:szCs w:val="21"/>
          <w:highlight w:val="none"/>
          <w:lang w:val="en-US" w:eastAsia="zh-CN" w:bidi="ar-SA"/>
        </w:rPr>
        <w:t xml:space="preserve">本部分标注“★”实质性要求，必须响应，不允许负偏离，否则作为无效投标处理。</w:t>
      </w:r>
      <w:r/>
    </w:p>
    <w:p>
      <w:pPr>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p>
    <w:p>
      <w:pPr>
        <w:pStyle w:val="716"/>
        <w:keepNext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第五章 评审方法和评审标准</w:t>
      </w:r>
      <w:r/>
    </w:p>
    <w:p>
      <w:pPr>
        <w:pStyle w:val="957"/>
        <w:ind w:left="0" w:firstLine="0"/>
        <w:spacing w:before="0" w:after="0" w:line="520" w:lineRule="exact"/>
        <w:rPr>
          <w:rFonts w:hint="eastAsia" w:ascii="宋体" w:hAnsi="宋体" w:eastAsia="宋体" w:cs="宋体"/>
          <w:b/>
          <w:color w:val="auto"/>
          <w:sz w:val="36"/>
          <w:szCs w:val="36"/>
          <w:highlight w:val="none"/>
          <w:lang w:val="en-US" w:eastAsia="zh-CN"/>
        </w:rPr>
      </w:pPr>
      <w:r>
        <w:rPr>
          <w:rFonts w:hint="eastAsia" w:ascii="宋体" w:hAnsi="宋体" w:eastAsia="宋体" w:cs="宋体"/>
          <w:b/>
          <w:color w:val="auto"/>
          <w:sz w:val="32"/>
          <w:szCs w:val="32"/>
          <w:highlight w:val="none"/>
          <w:lang w:val="en-US" w:eastAsia="zh-CN" w:bidi="ar-SA"/>
        </w:rPr>
        <w:t xml:space="preserve">分包</w:t>
      </w:r>
      <w:r>
        <w:rPr>
          <w:rFonts w:hint="eastAsia" w:ascii="宋体" w:hAnsi="宋体" w:cs="宋体"/>
          <w:b/>
          <w:color w:val="auto"/>
          <w:sz w:val="32"/>
          <w:szCs w:val="32"/>
          <w:highlight w:val="none"/>
          <w:lang w:val="en-US" w:eastAsia="zh-CN" w:bidi="ar-SA"/>
        </w:rPr>
        <w:t xml:space="preserve">一</w:t>
      </w:r>
      <w:r>
        <w:rPr>
          <w:rFonts w:hint="eastAsia" w:ascii="宋体" w:hAnsi="宋体" w:eastAsia="宋体" w:cs="宋体"/>
          <w:b/>
          <w:color w:val="auto"/>
          <w:sz w:val="32"/>
          <w:szCs w:val="32"/>
          <w:highlight w:val="none"/>
          <w:lang w:val="en-US" w:eastAsia="zh-CN" w:bidi="ar-SA"/>
        </w:rPr>
        <w:t xml:space="preserve">：</w:t>
      </w:r>
      <w:r/>
    </w:p>
    <w:p>
      <w:pPr>
        <w:pStyle w:val="957"/>
        <w:ind w:firstLine="482"/>
        <w:spacing w:before="0" w:after="0" w:line="520" w:lineRule="exact"/>
        <w:rPr>
          <w:rFonts w:hint="eastAsia" w:ascii="宋体" w:hAnsi="宋体" w:eastAsia="宋体" w:cs="宋体"/>
          <w:b/>
          <w:color w:val="auto"/>
          <w:highlight w:val="none"/>
        </w:rPr>
      </w:pPr>
      <w:r>
        <w:rPr>
          <w:rFonts w:hint="eastAsia" w:ascii="宋体" w:hAnsi="宋体" w:eastAsia="宋体" w:cs="宋体"/>
          <w:b/>
          <w:color w:val="auto"/>
          <w:highlight w:val="none"/>
        </w:rPr>
        <w:t xml:space="preserve">一、磋商小组：</w:t>
      </w:r>
      <w:r/>
    </w:p>
    <w:p>
      <w:pPr>
        <w:pStyle w:val="957"/>
        <w:spacing w:before="0" w:after="0" w:line="520" w:lineRule="exact"/>
        <w:rPr>
          <w:rFonts w:hint="eastAsia" w:ascii="宋体" w:hAnsi="宋体" w:eastAsia="宋体" w:cs="宋体"/>
          <w:bCs/>
          <w:color w:val="auto"/>
          <w:highlight w:val="none"/>
        </w:rPr>
      </w:pPr>
      <w:r>
        <w:rPr>
          <w:rFonts w:hint="eastAsia" w:ascii="宋体" w:hAnsi="宋体" w:eastAsia="宋体" w:cs="宋体"/>
          <w:bCs/>
          <w:color w:val="auto"/>
          <w:highlight w:val="none"/>
        </w:rPr>
        <w:t xml:space="preserve">本采购项目磋商小组的评委由相关的专家、采购人代表等有关人员构成。</w:t>
      </w:r>
      <w:r/>
    </w:p>
    <w:p>
      <w:pPr>
        <w:pStyle w:val="957"/>
        <w:ind w:firstLine="482"/>
        <w:spacing w:before="0" w:after="0" w:line="520" w:lineRule="exact"/>
        <w:rPr>
          <w:rFonts w:hint="eastAsia" w:ascii="宋体" w:hAnsi="宋体" w:eastAsia="宋体" w:cs="宋体"/>
          <w:b/>
          <w:color w:val="auto"/>
          <w:highlight w:val="none"/>
        </w:rPr>
      </w:pPr>
      <w:r>
        <w:rPr>
          <w:rFonts w:hint="eastAsia" w:ascii="宋体" w:hAnsi="宋体" w:eastAsia="宋体" w:cs="宋体"/>
          <w:b/>
          <w:color w:val="auto"/>
          <w:highlight w:val="none"/>
        </w:rPr>
        <w:t xml:space="preserve">二、评审方法：</w:t>
      </w:r>
      <w:r>
        <w:rPr>
          <w:rFonts w:hint="eastAsia" w:ascii="宋体" w:hAnsi="宋体" w:eastAsia="宋体" w:cs="宋体"/>
          <w:b/>
          <w:bCs/>
          <w:color w:val="auto"/>
          <w:highlight w:val="none"/>
        </w:rPr>
        <w:t xml:space="preserve">综合评分法</w:t>
      </w:r>
      <w:r/>
    </w:p>
    <w:p>
      <w:pPr>
        <w:pStyle w:val="957"/>
        <w:spacing w:before="0" w:after="0" w:line="52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经磋商确定最终采购需求和确定提交最后报价的供应商后，由磋商小组采用综合评分法对提交最后报价的供应商的响应文件和最后报价进行综合评分。</w:t>
      </w:r>
      <w:r/>
    </w:p>
    <w:p>
      <w:pPr>
        <w:pStyle w:val="957"/>
        <w:spacing w:before="0" w:after="0" w:line="52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综合评分法，是指响应文件满足磋商文件全部实质性要求且按评审因素的量化指标评审得分最高的供应商为成交候选供应商的评审方法。</w:t>
      </w:r>
      <w:r/>
    </w:p>
    <w:p>
      <w:pPr>
        <w:pStyle w:val="957"/>
        <w:ind w:firstLine="482"/>
        <w:spacing w:before="0" w:after="0" w:line="520" w:lineRule="exact"/>
        <w:rPr>
          <w:rFonts w:hint="eastAsia" w:ascii="宋体" w:hAnsi="宋体" w:eastAsia="宋体" w:cs="宋体"/>
          <w:b/>
          <w:color w:val="auto"/>
          <w:highlight w:val="none"/>
        </w:rPr>
      </w:pPr>
      <w:r>
        <w:rPr>
          <w:rFonts w:hint="eastAsia" w:ascii="宋体" w:hAnsi="宋体" w:eastAsia="宋体" w:cs="宋体"/>
          <w:b/>
          <w:color w:val="auto"/>
          <w:highlight w:val="none"/>
        </w:rPr>
        <w:t xml:space="preserve">三、评审原则：</w:t>
      </w:r>
      <w:r/>
    </w:p>
    <w:p>
      <w:pPr>
        <w:pStyle w:val="957"/>
        <w:spacing w:before="0" w:after="0" w:line="520" w:lineRule="exact"/>
        <w:rPr>
          <w:rFonts w:hint="eastAsia" w:ascii="宋体" w:hAnsi="宋体" w:eastAsia="宋体" w:cs="宋体"/>
          <w:bCs/>
          <w:color w:val="auto"/>
          <w:highlight w:val="none"/>
        </w:rPr>
      </w:pPr>
      <w:r>
        <w:rPr>
          <w:rFonts w:hint="eastAsia" w:ascii="宋体" w:hAnsi="宋体" w:eastAsia="宋体" w:cs="宋体"/>
          <w:color w:val="auto"/>
          <w:highlight w:val="none"/>
        </w:rPr>
        <w:t xml:space="preserve">磋商小组</w:t>
      </w:r>
      <w:r>
        <w:rPr>
          <w:rFonts w:hint="eastAsia" w:ascii="宋体" w:hAnsi="宋体" w:eastAsia="宋体" w:cs="宋体"/>
          <w:bCs/>
          <w:color w:val="auto"/>
          <w:highlight w:val="none"/>
        </w:rPr>
        <w:t xml:space="preserve">必须公平、公正、客观，不带任何倾向性和启发性；不得向外界透露任何与评审有关的内容；任何单位和个人不得干扰、影响评审的正常进行；</w:t>
      </w:r>
      <w:r>
        <w:rPr>
          <w:rFonts w:hint="eastAsia" w:ascii="宋体" w:hAnsi="宋体" w:eastAsia="宋体" w:cs="宋体"/>
          <w:color w:val="auto"/>
          <w:highlight w:val="none"/>
        </w:rPr>
        <w:t xml:space="preserve">磋商小组</w:t>
      </w:r>
      <w:r>
        <w:rPr>
          <w:rFonts w:hint="eastAsia" w:ascii="宋体" w:hAnsi="宋体" w:eastAsia="宋体" w:cs="宋体"/>
          <w:bCs/>
          <w:color w:val="auto"/>
          <w:highlight w:val="none"/>
        </w:rPr>
        <w:t xml:space="preserve">及有关工作人员不得私下与供应商接触。</w:t>
      </w:r>
      <w:r/>
    </w:p>
    <w:p>
      <w:pPr>
        <w:pStyle w:val="957"/>
        <w:ind w:firstLine="482"/>
        <w:spacing w:before="0" w:after="0" w:line="520" w:lineRule="exact"/>
        <w:rPr>
          <w:rFonts w:hint="eastAsia" w:ascii="宋体" w:hAnsi="宋体" w:eastAsia="宋体" w:cs="宋体"/>
          <w:b/>
          <w:color w:val="auto"/>
          <w:highlight w:val="none"/>
        </w:rPr>
      </w:pPr>
      <w:r>
        <w:rPr>
          <w:rFonts w:hint="eastAsia" w:ascii="宋体" w:hAnsi="宋体" w:eastAsia="宋体" w:cs="宋体"/>
          <w:b/>
          <w:color w:val="auto"/>
          <w:highlight w:val="none"/>
        </w:rPr>
        <w:t xml:space="preserve">四、评审标准： </w:t>
      </w:r>
      <w:r/>
    </w:p>
    <w:p>
      <w:pPr>
        <w:pStyle w:val="957"/>
        <w:spacing w:before="0" w:after="0" w:line="52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（一）评审时，磋商小组以磋商文件为评审依据，磋商小组各成员独立对每个有效响应的文件进行评价、打分，然后汇总每个磋商供应商每项评审因素的得分。</w:t>
      </w:r>
      <w:r/>
    </w:p>
    <w:p>
      <w:pPr>
        <w:pStyle w:val="957"/>
        <w:spacing w:before="0" w:after="0" w:line="520" w:lineRule="exact"/>
        <w:rPr>
          <w:rFonts w:hint="eastAsia" w:ascii="宋体" w:hAnsi="宋体" w:eastAsia="宋体" w:cs="宋体"/>
          <w:b/>
          <w:color w:val="auto"/>
          <w:sz w:val="32"/>
          <w:szCs w:val="32"/>
          <w:highlight w:val="none"/>
          <w:lang w:val="en-US" w:eastAsia="zh-CN" w:bidi="ar-SA"/>
        </w:rPr>
      </w:pPr>
      <w:r>
        <w:rPr>
          <w:rFonts w:hint="eastAsia" w:ascii="宋体" w:hAnsi="宋体" w:eastAsia="宋体" w:cs="宋体"/>
          <w:color w:val="auto"/>
          <w:highlight w:val="none"/>
        </w:rPr>
        <w:t xml:space="preserve">（二）本项目评分总分为100分，按四舍五入取至小数点后两位。</w:t>
      </w:r>
      <w:r/>
    </w:p>
    <w:p>
      <w:pPr>
        <w:pStyle w:val="957"/>
        <w:spacing w:before="0" w:after="0" w:line="520" w:lineRule="exact"/>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p>
    <w:p>
      <w:pPr>
        <w:pStyle w:val="716"/>
        <w:jc w:val="both"/>
        <w:keepNext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716"/>
        <w:keepNext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716"/>
        <w:keepNext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716"/>
        <w:keepNext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744"/>
        <w:rPr>
          <w:rFonts w:hint="eastAsia" w:ascii="宋体" w:hAnsi="宋体" w:eastAsia="宋体" w:cs="宋体"/>
          <w:color w:val="auto"/>
          <w:highlight w:val="none"/>
        </w:rPr>
      </w:pPr>
      <w:r>
        <w:rPr>
          <w:rFonts w:hint="eastAsia" w:ascii="宋体" w:hAnsi="宋体" w:eastAsia="宋体" w:cs="宋体"/>
          <w:color w:val="auto"/>
          <w:highlight w:val="none"/>
        </w:rPr>
      </w:r>
      <w:r/>
    </w:p>
    <w:p>
      <w:pPr>
        <w:pStyle w:val="744"/>
        <w:rPr>
          <w:rFonts w:hint="eastAsia" w:ascii="宋体" w:hAnsi="宋体" w:eastAsia="宋体" w:cs="宋体"/>
          <w:color w:val="auto"/>
          <w:highlight w:val="none"/>
        </w:rPr>
      </w:pPr>
      <w:r>
        <w:rPr>
          <w:rFonts w:hint="eastAsia" w:ascii="宋体" w:hAnsi="宋体" w:eastAsia="宋体" w:cs="宋体"/>
          <w:color w:val="auto"/>
          <w:highlight w:val="none"/>
        </w:rPr>
      </w:r>
      <w:r/>
    </w:p>
    <w:tbl>
      <w:tblPr>
        <w:tblStyle w:val="1009"/>
        <w:tblpPr w:horzAnchor="page" w:tblpX="1229" w:vertAnchor="page" w:tblpY="2715" w:leftFromText="180" w:topFromText="0" w:rightFromText="180" w:bottomFromText="0"/>
        <w:tblW w:w="971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024"/>
        <w:gridCol w:w="1158"/>
        <w:gridCol w:w="7537"/>
      </w:tblGrid>
      <w:tr>
        <w:trPr>
          <w:jc w:val="center"/>
          <w:trHeight w:val="590"/>
        </w:trPr>
        <w:tc>
          <w:tcPr>
            <w:tcW w:w="1024"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评审因素</w:t>
            </w:r>
            <w:r/>
          </w:p>
        </w:tc>
        <w:tc>
          <w:tcPr>
            <w:gridSpan w:val="2"/>
            <w:tcW w:w="8695"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评审标准</w:t>
            </w:r>
            <w:r/>
          </w:p>
        </w:tc>
      </w:tr>
      <w:tr>
        <w:trPr>
          <w:jc w:val="center"/>
          <w:trHeight w:val="765"/>
        </w:trPr>
        <w:tc>
          <w:tcPr>
            <w:gridSpan w:val="3"/>
            <w:tcW w:w="9719"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采用综合评分法，满分100分，投标报价30分</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技术部分</w:t>
            </w: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0分</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商务部分</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0分</w:t>
            </w:r>
            <w:r/>
          </w:p>
        </w:tc>
      </w:tr>
      <w:tr>
        <w:trPr>
          <w:jc w:val="center"/>
          <w:trHeight w:val="2624"/>
        </w:trPr>
        <w:tc>
          <w:tcPr>
            <w:tcW w:w="1024"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投标报价</w:t>
            </w:r>
            <w:r/>
          </w:p>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(30分)</w:t>
            </w:r>
            <w:r/>
          </w:p>
        </w:tc>
        <w:tc>
          <w:tcPr>
            <w:gridSpan w:val="2"/>
            <w:tcW w:w="8695" w:type="dxa"/>
            <w:vAlign w:val="top"/>
            <w:textDirection w:val="lrTb"/>
            <w:noWrap w:val="false"/>
          </w:tcPr>
          <w:p>
            <w:pPr>
              <w:numPr>
                <w:ilvl w:val="0"/>
                <w:numId w:val="0"/>
              </w:num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lang w:val="en-US" w:eastAsia="zh-CN" w:bidi="ar-SA"/>
              </w:rPr>
              <w:t xml:space="preserve">1.</w:t>
            </w:r>
            <w:r>
              <w:rPr>
                <w:rFonts w:hint="eastAsia" w:ascii="宋体" w:hAnsi="宋体" w:eastAsia="宋体" w:cs="宋体"/>
                <w:color w:val="auto"/>
                <w:sz w:val="21"/>
                <w:szCs w:val="21"/>
                <w:highlight w:val="none"/>
              </w:rPr>
              <w:t xml:space="preserve">价格分采用低价优先法计算，即满足招标文件要求且投标价格最低的投标报价为评标基准价，其价格分为满分。  </w:t>
            </w:r>
            <w:r/>
          </w:p>
          <w:p>
            <w:pPr>
              <w:numPr>
                <w:ilvl w:val="0"/>
                <w:numId w:val="0"/>
              </w:num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其他供应商的价格分统一按照下列公式计算：投标报价得分=(评标基准价/投标报价)×30</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注：分值计算保留两位小数。根据“财政部令第87号”第六十条的规定：评标委员会认为供应商的报价明显低于其他通过符合性审查供应商的报价，有可能影响产品质 量或者不能诚信履约的，应当要求其在评标现场合理的时间内提供书面说明，必要时提交相关证明材料；供应商不能证明其报价合理性的，评标委员会应当将其作投标无效处理。</w:t>
            </w:r>
            <w:r/>
          </w:p>
        </w:tc>
      </w:tr>
      <w:tr>
        <w:trPr>
          <w:jc w:val="center"/>
          <w:trHeight w:val="1109"/>
        </w:trPr>
        <w:tc>
          <w:tcPr>
            <w:tcBorders>
              <w:bottom w:val="none" w:color="000000" w:sz="4" w:space="0"/>
            </w:tcBorders>
            <w:tcW w:w="1024" w:type="dxa"/>
            <w:vAlign w:val="center"/>
            <w:vMerge w:val="restart"/>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技术部分</w:t>
            </w:r>
            <w:r/>
          </w:p>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0分)</w:t>
            </w:r>
            <w:r/>
          </w:p>
        </w:tc>
        <w:tc>
          <w:tcPr>
            <w:tcW w:w="1158"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供货质量保证措施 ( </w:t>
            </w:r>
            <w:r>
              <w:rPr>
                <w:rFonts w:hint="eastAsia" w:ascii="宋体" w:hAnsi="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rPr>
              <w:t xml:space="preserve">分 )</w:t>
            </w:r>
            <w:r/>
          </w:p>
        </w:tc>
        <w:tc>
          <w:tcPr>
            <w:tcW w:w="7537" w:type="dxa"/>
            <w:vAlign w:val="center"/>
            <w:textDirection w:val="lrTb"/>
            <w:noWrap w:val="false"/>
          </w:tcPr>
          <w:p>
            <w:pPr>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根据投标人所报投标文件中供货质量保证措施进行综合评定，满分</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 分；质量保证措施好的，得</w:t>
            </w:r>
            <w:r>
              <w:rPr>
                <w:rFonts w:hint="eastAsia" w:ascii="宋体" w:hAnsi="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rPr>
              <w:t xml:space="preserve">分；较好的得</w:t>
            </w:r>
            <w:r>
              <w:rPr>
                <w:rFonts w:hint="eastAsia" w:ascii="宋体"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分，一般的，得</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分；未提供或其他情况不得分。</w:t>
            </w:r>
            <w:r/>
          </w:p>
        </w:tc>
      </w:tr>
      <w:tr>
        <w:trPr>
          <w:jc w:val="center"/>
          <w:trHeight w:val="2576"/>
        </w:trPr>
        <w:tc>
          <w:tcPr>
            <w:tcBorders>
              <w:top w:val="none" w:color="000000" w:sz="4" w:space="0"/>
              <w:bottom w:val="none" w:color="000000" w:sz="4" w:space="0"/>
            </w:tcBorders>
            <w:tcW w:w="1024" w:type="dxa"/>
            <w:vAlign w:val="center"/>
            <w:vMerge w:val="continue"/>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58"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技术指导实施方案 (</w:t>
            </w:r>
            <w:r>
              <w:rPr>
                <w:rFonts w:hint="eastAsia" w:ascii="宋体" w:hAnsi="宋体" w:eastAsia="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rPr>
              <w:t xml:space="preserve">分)</w:t>
            </w:r>
            <w:r/>
          </w:p>
        </w:tc>
        <w:tc>
          <w:tcPr>
            <w:tcW w:w="7537" w:type="dxa"/>
            <w:vAlign w:val="center"/>
            <w:textDirection w:val="lrTb"/>
            <w:noWrap w:val="false"/>
          </w:tcPr>
          <w:p>
            <w:pPr>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技术指导方案包含（但不限于）①指导培训的内容、②现场指导方案的流程、③特殊情况的处理、④本项目技术针对性的指导、⑤专业性指导人员的经验及能力；要求内容完整、合理、可行性强。方案切实可行且无瑕疵得10分；未提供得0分。</w:t>
            </w:r>
            <w:r/>
          </w:p>
          <w:p>
            <w:pPr>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存在瑕疵的每一处扣2分，扣完为止（本项目所谓“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p>
        </w:tc>
      </w:tr>
      <w:tr>
        <w:trPr>
          <w:jc w:val="center"/>
          <w:trHeight w:val="1109"/>
        </w:trPr>
        <w:tc>
          <w:tcPr>
            <w:tcBorders>
              <w:top w:val="none" w:color="000000" w:sz="4" w:space="0"/>
              <w:bottom w:val="none" w:color="000000" w:sz="4" w:space="0"/>
            </w:tcBorders>
            <w:tcW w:w="1024"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58"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售后服务(</w:t>
            </w:r>
            <w:r>
              <w:rPr>
                <w:rFonts w:hint="eastAsia" w:ascii="宋体" w:hAnsi="宋体" w:eastAsia="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rPr>
              <w:t xml:space="preserve">)</w:t>
            </w:r>
            <w:r/>
          </w:p>
        </w:tc>
        <w:tc>
          <w:tcPr>
            <w:tcW w:w="7537" w:type="dxa"/>
            <w:vAlign w:val="center"/>
            <w:textDirection w:val="lrTb"/>
            <w:noWrap w:val="false"/>
          </w:tcPr>
          <w:p>
            <w:pPr>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售后服务计划、措施：针对该项目须有详尽的组织配送、验收、售后等方面的服务计划、能力、措施。服务计划、措施好的，得</w:t>
            </w:r>
            <w:r>
              <w:rPr>
                <w:rFonts w:hint="eastAsia" w:ascii="宋体" w:hAnsi="宋体" w:eastAsia="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rPr>
              <w:t xml:space="preserve">分；较好的得</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分，一般的，得</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分；未提供或其他情况不得分。</w:t>
            </w:r>
            <w:r/>
          </w:p>
        </w:tc>
      </w:tr>
      <w:tr>
        <w:trPr>
          <w:jc w:val="center"/>
          <w:trHeight w:val="1834"/>
        </w:trPr>
        <w:tc>
          <w:tcPr>
            <w:tcBorders>
              <w:top w:val="none" w:color="000000" w:sz="4" w:space="0"/>
              <w:bottom w:val="none" w:color="000000" w:sz="4" w:space="0"/>
            </w:tcBorders>
            <w:tcW w:w="1024"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58"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应急方案（10分）</w:t>
            </w:r>
            <w:r/>
          </w:p>
        </w:tc>
        <w:tc>
          <w:tcPr>
            <w:tcW w:w="7537" w:type="dxa"/>
            <w:vAlign w:val="center"/>
            <w:textDirection w:val="lrTb"/>
            <w:noWrap w:val="false"/>
          </w:tcPr>
          <w:p>
            <w:pPr>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投标人提供的应急方案包含（但不限于）①特殊天气的配送措施、②及时处理特殊情况的响应时间、③专业应急处理团队、④临时需求应急计划等相关内容；要求方案内容完整、合理、项目针对性强。</w:t>
            </w:r>
            <w:r/>
          </w:p>
          <w:p>
            <w:pPr>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1、提供的应急方案内容不存在瑕疵得10分；</w:t>
            </w:r>
            <w:r/>
          </w:p>
          <w:p>
            <w:pPr>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2、提供的应急方案内容存在1处瑕疵得7分；</w:t>
            </w:r>
            <w:r/>
          </w:p>
          <w:p>
            <w:pPr>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3、提供的应急方案内容存在2处瑕疵得4分；</w:t>
            </w:r>
            <w:r/>
          </w:p>
          <w:p>
            <w:pPr>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4、提供的应急方案内容存在3处瑕疵得1分；</w:t>
            </w:r>
            <w:r/>
          </w:p>
          <w:p>
            <w:pPr>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5、未提供方案或不满足项目需求或内容存在4处及以上瑕疵得0分。</w:t>
            </w:r>
            <w:r/>
          </w:p>
          <w:p>
            <w:pPr>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本项目所谓“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p>
        </w:tc>
      </w:tr>
      <w:tr>
        <w:trPr>
          <w:jc w:val="center"/>
          <w:trHeight w:val="797"/>
        </w:trPr>
        <w:tc>
          <w:tcPr>
            <w:tcW w:w="1024" w:type="dxa"/>
            <w:vAlign w:val="center"/>
            <w:vMerge w:val="restart"/>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商务部分 </w:t>
            </w:r>
            <w:r/>
          </w:p>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0分)</w:t>
            </w:r>
            <w:r/>
          </w:p>
        </w:tc>
        <w:tc>
          <w:tcPr>
            <w:tcW w:w="1158" w:type="dxa"/>
            <w:vAlign w:val="center"/>
            <w:textDirection w:val="lrTb"/>
            <w:noWrap w:val="false"/>
          </w:tcPr>
          <w:p>
            <w:pPr>
              <w:jc w:val="center"/>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人员配置</w:t>
            </w:r>
            <w:r/>
          </w:p>
          <w:p>
            <w:pPr>
              <w:jc w:val="center"/>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rPr>
              <w:t xml:space="preserve"> 分 )</w:t>
            </w:r>
            <w:r/>
          </w:p>
        </w:tc>
        <w:tc>
          <w:tcPr>
            <w:tcW w:w="7537" w:type="dxa"/>
            <w:vAlign w:val="center"/>
            <w:textDirection w:val="lrTb"/>
            <w:noWrap w:val="false"/>
          </w:tcPr>
          <w:p>
            <w:pPr>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投标人</w:t>
            </w:r>
            <w:r>
              <w:rPr>
                <w:rFonts w:hint="eastAsia" w:ascii="宋体" w:hAnsi="宋体" w:eastAsia="宋体" w:cs="宋体"/>
                <w:color w:val="auto"/>
                <w:sz w:val="21"/>
                <w:szCs w:val="21"/>
                <w:highlight w:val="none"/>
                <w:lang w:val="en-US" w:eastAsia="zh-CN"/>
              </w:rPr>
              <w:t xml:space="preserve">供货时需</w:t>
            </w:r>
            <w:r>
              <w:rPr>
                <w:rFonts w:hint="eastAsia" w:ascii="宋体" w:hAnsi="宋体" w:eastAsia="宋体" w:cs="宋体"/>
                <w:color w:val="auto"/>
                <w:sz w:val="21"/>
                <w:szCs w:val="21"/>
                <w:highlight w:val="none"/>
              </w:rPr>
              <w:t xml:space="preserve">有科学、具体的技术指导，必须配置技术指导人员农业专家至少1名，</w:t>
            </w:r>
            <w:r>
              <w:rPr>
                <w:rFonts w:hint="eastAsia" w:ascii="宋体" w:hAnsi="宋体" w:eastAsia="宋体" w:cs="宋体"/>
                <w:color w:val="auto"/>
                <w:sz w:val="21"/>
                <w:szCs w:val="21"/>
                <w:highlight w:val="none"/>
                <w:lang w:val="en-US" w:eastAsia="zh-CN"/>
              </w:rPr>
              <w:t xml:space="preserve">高级职称</w:t>
            </w:r>
            <w:r>
              <w:rPr>
                <w:rFonts w:hint="eastAsia" w:ascii="宋体" w:hAnsi="宋体" w:eastAsia="宋体" w:cs="宋体"/>
                <w:color w:val="auto"/>
                <w:sz w:val="21"/>
                <w:szCs w:val="21"/>
                <w:highlight w:val="none"/>
              </w:rPr>
              <w:t xml:space="preserve">，得</w:t>
            </w:r>
            <w:r>
              <w:rPr>
                <w:rFonts w:hint="eastAsia" w:ascii="宋体" w:hAnsi="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val="en-US" w:eastAsia="zh-CN"/>
              </w:rPr>
              <w:t xml:space="preserve">中级职称</w:t>
            </w:r>
            <w:r>
              <w:rPr>
                <w:rFonts w:hint="eastAsia" w:ascii="宋体" w:hAnsi="宋体" w:eastAsia="宋体" w:cs="宋体"/>
                <w:color w:val="auto"/>
                <w:sz w:val="21"/>
                <w:szCs w:val="21"/>
                <w:highlight w:val="none"/>
              </w:rPr>
              <w:t xml:space="preserve">，得</w:t>
            </w:r>
            <w:r>
              <w:rPr>
                <w:rFonts w:hint="eastAsia" w:ascii="宋体"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val="en-US" w:eastAsia="zh-CN"/>
              </w:rPr>
              <w:t xml:space="preserve">初级职称</w:t>
            </w:r>
            <w:r>
              <w:rPr>
                <w:rFonts w:hint="eastAsia" w:ascii="宋体" w:hAnsi="宋体" w:eastAsia="宋体" w:cs="宋体"/>
                <w:color w:val="auto"/>
                <w:sz w:val="21"/>
                <w:szCs w:val="21"/>
                <w:highlight w:val="none"/>
              </w:rPr>
              <w:t xml:space="preserve">，得</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分；未提供</w:t>
            </w:r>
            <w:r>
              <w:rPr>
                <w:rFonts w:hint="eastAsia" w:ascii="宋体" w:hAnsi="宋体" w:eastAsia="宋体" w:cs="宋体"/>
                <w:color w:val="auto"/>
                <w:sz w:val="21"/>
                <w:szCs w:val="21"/>
                <w:highlight w:val="none"/>
                <w:lang w:val="en-US" w:eastAsia="zh-CN"/>
              </w:rPr>
              <w:t xml:space="preserve">相关材料</w:t>
            </w:r>
            <w:r>
              <w:rPr>
                <w:rFonts w:hint="eastAsia" w:ascii="宋体" w:hAnsi="宋体" w:eastAsia="宋体" w:cs="宋体"/>
                <w:color w:val="auto"/>
                <w:sz w:val="21"/>
                <w:szCs w:val="21"/>
                <w:highlight w:val="none"/>
              </w:rPr>
              <w:t xml:space="preserve">不得分。</w:t>
            </w:r>
            <w:r/>
          </w:p>
        </w:tc>
      </w:tr>
      <w:tr>
        <w:trPr>
          <w:jc w:val="center"/>
          <w:trHeight w:val="1109"/>
        </w:trPr>
        <w:tc>
          <w:tcPr>
            <w:tcW w:w="1024" w:type="dxa"/>
            <w:vAlign w:val="top"/>
            <w:vMerge w:val="continue"/>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58"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业绩</w:t>
            </w:r>
            <w:r/>
          </w:p>
          <w:p>
            <w:pPr>
              <w:jc w:val="center"/>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rPr>
              <w:t xml:space="preserve"> 分 )</w:t>
            </w:r>
            <w:r/>
          </w:p>
        </w:tc>
        <w:tc>
          <w:tcPr>
            <w:tcW w:w="7537" w:type="dxa"/>
            <w:vAlign w:val="center"/>
            <w:textDirection w:val="lrTb"/>
            <w:noWrap w:val="false"/>
          </w:tcPr>
          <w:p>
            <w:pPr>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产品生产厂家或经销商</w:t>
            </w:r>
            <w:r>
              <w:rPr>
                <w:rFonts w:hint="eastAsia" w:ascii="宋体" w:hAnsi="宋体" w:eastAsia="宋体" w:cs="宋体"/>
                <w:color w:val="auto"/>
                <w:sz w:val="21"/>
                <w:szCs w:val="21"/>
                <w:highlight w:val="none"/>
              </w:rPr>
              <w:t xml:space="preserve">提供2022年1月1日以来所投标产品的成功案例合同，每份得</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val="en-US" w:eastAsia="zh-CN"/>
              </w:rPr>
              <w:t xml:space="preserve">最多得10</w:t>
            </w:r>
            <w:r>
              <w:rPr>
                <w:rFonts w:hint="eastAsia" w:ascii="宋体" w:hAnsi="宋体" w:eastAsia="宋体" w:cs="宋体"/>
                <w:color w:val="auto"/>
                <w:sz w:val="21"/>
                <w:szCs w:val="21"/>
                <w:highlight w:val="none"/>
              </w:rPr>
              <w:t xml:space="preserve">分。(须在投标文件中提供中标通知书及相关合同扫描件，否则此项不得分)</w:t>
            </w:r>
            <w:r/>
          </w:p>
        </w:tc>
      </w:tr>
      <w:tr>
        <w:trPr>
          <w:jc w:val="center"/>
          <w:trHeight w:val="1002"/>
        </w:trPr>
        <w:tc>
          <w:tcPr>
            <w:tcW w:w="1024" w:type="dxa"/>
            <w:vAlign w:val="top"/>
            <w:vMerge w:val="continue"/>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58"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发明专利</w:t>
            </w:r>
            <w:r/>
          </w:p>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rPr>
              <w:t xml:space="preserve">分)</w:t>
            </w:r>
            <w:r/>
          </w:p>
        </w:tc>
        <w:tc>
          <w:tcPr>
            <w:tcW w:w="7537" w:type="dxa"/>
            <w:vAlign w:val="center"/>
            <w:textDirection w:val="lrTb"/>
            <w:noWrap w:val="false"/>
          </w:tcPr>
          <w:p>
            <w:pPr>
              <w:jc w:val="both"/>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具有与本项目招标货物相关的有效专利证书，每提供一个得</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分，最高得</w:t>
            </w:r>
            <w:r>
              <w:rPr>
                <w:rFonts w:hint="eastAsia" w:ascii="宋体" w:hAnsi="宋体" w:eastAsia="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rPr>
              <w:t xml:space="preserve">分。(须在投标文件中提供相关证明文件扫描件，否则此项不得分 )</w:t>
            </w:r>
            <w:bookmarkEnd w:id="185"/>
            <w:r/>
            <w:bookmarkEnd w:id="186"/>
            <w:r/>
            <w:bookmarkEnd w:id="193"/>
            <w:r/>
            <w:bookmarkEnd w:id="194"/>
            <w:r/>
            <w:bookmarkEnd w:id="195"/>
            <w:r/>
            <w:r/>
          </w:p>
        </w:tc>
      </w:tr>
    </w:tbl>
    <w:p>
      <w:pPr>
        <w:pStyle w:val="957"/>
        <w:ind w:left="0" w:firstLine="0"/>
        <w:spacing w:before="0" w:after="0" w:line="520" w:lineRule="exact"/>
        <w:rPr>
          <w:rFonts w:hint="eastAsia" w:ascii="宋体" w:hAnsi="宋体" w:eastAsia="宋体" w:cs="宋体"/>
          <w:b/>
          <w:color w:val="auto"/>
          <w:sz w:val="32"/>
          <w:szCs w:val="32"/>
          <w:highlight w:val="none"/>
          <w:lang w:val="en-US" w:eastAsia="zh-CN" w:bidi="ar-SA"/>
        </w:rPr>
      </w:pPr>
      <w:r>
        <w:rPr>
          <w:rFonts w:hint="eastAsia" w:ascii="宋体" w:hAnsi="宋体" w:eastAsia="宋体" w:cs="宋体"/>
          <w:bCs/>
          <w:color w:val="auto"/>
          <w:sz w:val="24"/>
          <w:szCs w:val="24"/>
          <w:highlight w:val="none"/>
        </w:rPr>
        <w:t xml:space="preserve">五、磋商小组根据综合评分情况，按照评审得分由高到低顺序推荐3名以上成交候选供应商，符合《政府采购竞争性磋商采购方式管理暂行办法》第二十一条第三款情形的，可以推荐2家成交候选供应商。评审得分相同的，按照最后报价由低到高的顺序推荐。评审得分且最后报价相同的，按照技术指标优劣顺序推荐。</w:t>
      </w:r>
      <w:r/>
    </w:p>
    <w:p>
      <w:pPr>
        <w:pStyle w:val="957"/>
        <w:ind w:left="0" w:firstLine="0"/>
        <w:spacing w:before="0" w:after="0" w:line="520" w:lineRule="exact"/>
        <w:rPr>
          <w:rFonts w:hint="eastAsia" w:ascii="宋体" w:hAnsi="宋体" w:eastAsia="宋体" w:cs="宋体"/>
          <w:b/>
          <w:color w:val="auto"/>
          <w:sz w:val="32"/>
          <w:szCs w:val="32"/>
          <w:highlight w:val="none"/>
          <w:lang w:val="en-US" w:eastAsia="zh-CN" w:bidi="ar-SA"/>
        </w:rPr>
      </w:pPr>
      <w:r>
        <w:rPr>
          <w:rFonts w:hint="eastAsia" w:ascii="宋体" w:hAnsi="宋体" w:eastAsia="宋体" w:cs="宋体"/>
          <w:b/>
          <w:color w:val="auto"/>
          <w:sz w:val="32"/>
          <w:szCs w:val="32"/>
          <w:highlight w:val="none"/>
          <w:lang w:val="en-US" w:eastAsia="zh-CN" w:bidi="ar-SA"/>
        </w:rPr>
      </w:r>
      <w:r/>
    </w:p>
    <w:p>
      <w:pPr>
        <w:pStyle w:val="957"/>
        <w:ind w:left="0" w:firstLine="0"/>
        <w:spacing w:before="0" w:after="0" w:line="520" w:lineRule="exact"/>
        <w:rPr>
          <w:rFonts w:hint="eastAsia" w:ascii="宋体" w:hAnsi="宋体" w:eastAsia="宋体" w:cs="宋体"/>
          <w:b/>
          <w:color w:val="auto"/>
          <w:sz w:val="32"/>
          <w:szCs w:val="32"/>
          <w:highlight w:val="none"/>
          <w:lang w:val="en-US" w:eastAsia="zh-CN" w:bidi="ar-SA"/>
        </w:rPr>
      </w:pPr>
      <w:r>
        <w:rPr>
          <w:rFonts w:hint="eastAsia" w:ascii="宋体" w:hAnsi="宋体" w:eastAsia="宋体" w:cs="宋体"/>
          <w:b/>
          <w:color w:val="auto"/>
          <w:sz w:val="32"/>
          <w:szCs w:val="32"/>
          <w:highlight w:val="none"/>
          <w:lang w:val="en-US" w:eastAsia="zh-CN" w:bidi="ar-SA"/>
        </w:rPr>
      </w:r>
      <w:r/>
    </w:p>
    <w:p>
      <w:pPr>
        <w:pStyle w:val="957"/>
        <w:ind w:left="0" w:firstLine="0"/>
        <w:spacing w:before="0" w:after="0" w:line="520" w:lineRule="exact"/>
        <w:rPr>
          <w:rFonts w:hint="eastAsia" w:ascii="宋体" w:hAnsi="宋体" w:eastAsia="宋体" w:cs="宋体"/>
          <w:b/>
          <w:color w:val="auto"/>
          <w:sz w:val="32"/>
          <w:szCs w:val="32"/>
          <w:highlight w:val="none"/>
          <w:lang w:val="en-US" w:eastAsia="zh-CN" w:bidi="ar-SA"/>
        </w:rPr>
      </w:pPr>
      <w:r>
        <w:rPr>
          <w:rFonts w:hint="eastAsia" w:ascii="宋体" w:hAnsi="宋体" w:eastAsia="宋体" w:cs="宋体"/>
          <w:b/>
          <w:color w:val="auto"/>
          <w:sz w:val="32"/>
          <w:szCs w:val="32"/>
          <w:highlight w:val="none"/>
          <w:lang w:val="en-US" w:eastAsia="zh-CN" w:bidi="ar-SA"/>
        </w:rPr>
      </w:r>
      <w:r/>
    </w:p>
    <w:p>
      <w:pPr>
        <w:pStyle w:val="957"/>
        <w:ind w:left="0" w:firstLine="0"/>
        <w:spacing w:before="0" w:after="0" w:line="520" w:lineRule="exact"/>
        <w:rPr>
          <w:rFonts w:hint="eastAsia" w:ascii="宋体" w:hAnsi="宋体" w:eastAsia="宋体" w:cs="宋体"/>
          <w:b/>
          <w:color w:val="auto"/>
          <w:sz w:val="32"/>
          <w:szCs w:val="32"/>
          <w:highlight w:val="none"/>
          <w:lang w:val="en-US" w:eastAsia="zh-CN" w:bidi="ar-SA"/>
        </w:rPr>
      </w:pPr>
      <w:r>
        <w:rPr>
          <w:rFonts w:hint="eastAsia" w:ascii="宋体" w:hAnsi="宋体" w:eastAsia="宋体" w:cs="宋体"/>
          <w:b/>
          <w:color w:val="auto"/>
          <w:sz w:val="32"/>
          <w:szCs w:val="32"/>
          <w:highlight w:val="none"/>
          <w:lang w:val="en-US" w:eastAsia="zh-CN" w:bidi="ar-SA"/>
        </w:rPr>
      </w:r>
      <w:r/>
    </w:p>
    <w:p>
      <w:pPr>
        <w:pStyle w:val="957"/>
        <w:ind w:left="0" w:firstLine="0"/>
        <w:spacing w:before="0" w:after="0" w:line="520" w:lineRule="exact"/>
        <w:rPr>
          <w:rFonts w:hint="eastAsia" w:ascii="宋体" w:hAnsi="宋体" w:eastAsia="宋体" w:cs="宋体"/>
          <w:b/>
          <w:color w:val="auto"/>
          <w:sz w:val="32"/>
          <w:szCs w:val="32"/>
          <w:highlight w:val="none"/>
          <w:lang w:val="en-US" w:eastAsia="zh-CN" w:bidi="ar-SA"/>
        </w:rPr>
      </w:pPr>
      <w:r>
        <w:rPr>
          <w:rFonts w:hint="eastAsia" w:ascii="宋体" w:hAnsi="宋体" w:eastAsia="宋体" w:cs="宋体"/>
          <w:b/>
          <w:color w:val="auto"/>
          <w:sz w:val="32"/>
          <w:szCs w:val="32"/>
          <w:highlight w:val="none"/>
          <w:lang w:val="en-US" w:eastAsia="zh-CN" w:bidi="ar-SA"/>
        </w:rPr>
      </w:r>
      <w:r/>
    </w:p>
    <w:p>
      <w:pPr>
        <w:pStyle w:val="957"/>
        <w:ind w:left="0" w:firstLine="0"/>
        <w:spacing w:before="0" w:after="0" w:line="520" w:lineRule="exact"/>
        <w:rPr>
          <w:rFonts w:hint="eastAsia" w:ascii="宋体" w:hAnsi="宋体" w:eastAsia="宋体" w:cs="宋体"/>
          <w:b/>
          <w:color w:val="auto"/>
          <w:sz w:val="36"/>
          <w:szCs w:val="36"/>
          <w:highlight w:val="none"/>
          <w:lang w:val="en-US" w:eastAsia="zh-CN"/>
        </w:rPr>
      </w:pPr>
      <w:r>
        <w:rPr>
          <w:rFonts w:hint="eastAsia" w:ascii="宋体" w:hAnsi="宋体" w:eastAsia="宋体" w:cs="宋体"/>
          <w:b/>
          <w:color w:val="auto"/>
          <w:sz w:val="32"/>
          <w:szCs w:val="32"/>
          <w:highlight w:val="none"/>
          <w:lang w:val="en-US" w:eastAsia="zh-CN" w:bidi="ar-SA"/>
        </w:rPr>
        <w:t xml:space="preserve">分包二：</w:t>
      </w:r>
      <w:r/>
    </w:p>
    <w:p>
      <w:pPr>
        <w:pStyle w:val="957"/>
        <w:ind w:firstLine="482"/>
        <w:spacing w:before="0" w:after="0" w:line="520" w:lineRule="exact"/>
        <w:rPr>
          <w:rFonts w:hint="eastAsia" w:ascii="宋体" w:hAnsi="宋体" w:eastAsia="宋体" w:cs="宋体"/>
          <w:b/>
          <w:color w:val="auto"/>
          <w:highlight w:val="none"/>
        </w:rPr>
      </w:pPr>
      <w:r>
        <w:rPr>
          <w:rFonts w:hint="eastAsia" w:ascii="宋体" w:hAnsi="宋体" w:eastAsia="宋体" w:cs="宋体"/>
          <w:b/>
          <w:color w:val="auto"/>
          <w:highlight w:val="none"/>
        </w:rPr>
        <w:t xml:space="preserve">一、磋商小组：</w:t>
      </w:r>
      <w:r/>
    </w:p>
    <w:p>
      <w:pPr>
        <w:pStyle w:val="957"/>
        <w:spacing w:before="0" w:after="0" w:line="520" w:lineRule="exact"/>
        <w:rPr>
          <w:rFonts w:hint="eastAsia" w:ascii="宋体" w:hAnsi="宋体" w:eastAsia="宋体" w:cs="宋体"/>
          <w:bCs/>
          <w:color w:val="auto"/>
          <w:highlight w:val="none"/>
        </w:rPr>
      </w:pPr>
      <w:r>
        <w:rPr>
          <w:rFonts w:hint="eastAsia" w:ascii="宋体" w:hAnsi="宋体" w:eastAsia="宋体" w:cs="宋体"/>
          <w:bCs/>
          <w:color w:val="auto"/>
          <w:highlight w:val="none"/>
        </w:rPr>
        <w:t xml:space="preserve">本采购项目磋商小组的评委由相关的专家、采购人代表等有关人员构成。</w:t>
      </w:r>
      <w:r/>
    </w:p>
    <w:p>
      <w:pPr>
        <w:pStyle w:val="957"/>
        <w:ind w:firstLine="482"/>
        <w:spacing w:before="0" w:after="0" w:line="520" w:lineRule="exact"/>
        <w:rPr>
          <w:rFonts w:hint="eastAsia" w:ascii="宋体" w:hAnsi="宋体" w:eastAsia="宋体" w:cs="宋体"/>
          <w:b/>
          <w:color w:val="auto"/>
          <w:highlight w:val="none"/>
        </w:rPr>
      </w:pPr>
      <w:r>
        <w:rPr>
          <w:rFonts w:hint="eastAsia" w:ascii="宋体" w:hAnsi="宋体" w:eastAsia="宋体" w:cs="宋体"/>
          <w:b/>
          <w:color w:val="auto"/>
          <w:highlight w:val="none"/>
        </w:rPr>
        <w:t xml:space="preserve">二、评审方法：</w:t>
      </w:r>
      <w:r>
        <w:rPr>
          <w:rFonts w:hint="eastAsia" w:ascii="宋体" w:hAnsi="宋体" w:eastAsia="宋体" w:cs="宋体"/>
          <w:b/>
          <w:bCs/>
          <w:color w:val="auto"/>
          <w:highlight w:val="none"/>
        </w:rPr>
        <w:t xml:space="preserve">综合评分法</w:t>
      </w:r>
      <w:r/>
    </w:p>
    <w:p>
      <w:pPr>
        <w:pStyle w:val="957"/>
        <w:spacing w:before="0" w:after="0" w:line="52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经磋商确定最终采购需求和确定提交最后报价的供应商后，由磋商小组采用综合评分法对提交最后报价的供应商的响应文件和最后报价进行综合评分。</w:t>
      </w:r>
      <w:r/>
    </w:p>
    <w:p>
      <w:pPr>
        <w:pStyle w:val="957"/>
        <w:spacing w:before="0" w:after="0" w:line="52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综合评分法，是指响应文件满足磋商文件全部实质性要求且按评审因素的量化指标评审得分最高的供应商为成交候选供应商的评审方法。</w:t>
      </w:r>
      <w:r/>
    </w:p>
    <w:p>
      <w:pPr>
        <w:pStyle w:val="957"/>
        <w:ind w:firstLine="482"/>
        <w:spacing w:before="0" w:after="0" w:line="520" w:lineRule="exact"/>
        <w:rPr>
          <w:rFonts w:hint="eastAsia" w:ascii="宋体" w:hAnsi="宋体" w:eastAsia="宋体" w:cs="宋体"/>
          <w:b/>
          <w:color w:val="auto"/>
          <w:highlight w:val="none"/>
        </w:rPr>
      </w:pPr>
      <w:r>
        <w:rPr>
          <w:rFonts w:hint="eastAsia" w:ascii="宋体" w:hAnsi="宋体" w:eastAsia="宋体" w:cs="宋体"/>
          <w:b/>
          <w:color w:val="auto"/>
          <w:highlight w:val="none"/>
        </w:rPr>
        <w:t xml:space="preserve">三、评审原则：</w:t>
      </w:r>
      <w:r/>
    </w:p>
    <w:p>
      <w:pPr>
        <w:pStyle w:val="957"/>
        <w:spacing w:before="0" w:after="0" w:line="520" w:lineRule="exact"/>
        <w:rPr>
          <w:rFonts w:hint="eastAsia" w:ascii="宋体" w:hAnsi="宋体" w:eastAsia="宋体" w:cs="宋体"/>
          <w:bCs/>
          <w:color w:val="auto"/>
          <w:highlight w:val="none"/>
        </w:rPr>
      </w:pPr>
      <w:r>
        <w:rPr>
          <w:rFonts w:hint="eastAsia" w:ascii="宋体" w:hAnsi="宋体" w:eastAsia="宋体" w:cs="宋体"/>
          <w:color w:val="auto"/>
          <w:highlight w:val="none"/>
        </w:rPr>
        <w:t xml:space="preserve">磋商小组</w:t>
      </w:r>
      <w:r>
        <w:rPr>
          <w:rFonts w:hint="eastAsia" w:ascii="宋体" w:hAnsi="宋体" w:eastAsia="宋体" w:cs="宋体"/>
          <w:bCs/>
          <w:color w:val="auto"/>
          <w:highlight w:val="none"/>
        </w:rPr>
        <w:t xml:space="preserve">必须公平、公正、客观，不带任何倾向性和启发性；不得向外界透露任何与评审有关的内容；任何单位和个人不得干扰、影响评审的正常进行；</w:t>
      </w:r>
      <w:r>
        <w:rPr>
          <w:rFonts w:hint="eastAsia" w:ascii="宋体" w:hAnsi="宋体" w:eastAsia="宋体" w:cs="宋体"/>
          <w:color w:val="auto"/>
          <w:highlight w:val="none"/>
        </w:rPr>
        <w:t xml:space="preserve">磋商小组</w:t>
      </w:r>
      <w:r>
        <w:rPr>
          <w:rFonts w:hint="eastAsia" w:ascii="宋体" w:hAnsi="宋体" w:eastAsia="宋体" w:cs="宋体"/>
          <w:bCs/>
          <w:color w:val="auto"/>
          <w:highlight w:val="none"/>
        </w:rPr>
        <w:t xml:space="preserve">及有关工作人员不得私下与供应商接触。</w:t>
      </w:r>
      <w:r/>
    </w:p>
    <w:p>
      <w:pPr>
        <w:pStyle w:val="957"/>
        <w:ind w:firstLine="482"/>
        <w:spacing w:before="0" w:after="0" w:line="520" w:lineRule="exact"/>
        <w:rPr>
          <w:rFonts w:hint="eastAsia" w:ascii="宋体" w:hAnsi="宋体" w:eastAsia="宋体" w:cs="宋体"/>
          <w:b/>
          <w:color w:val="auto"/>
          <w:highlight w:val="none"/>
        </w:rPr>
      </w:pPr>
      <w:r>
        <w:rPr>
          <w:rFonts w:hint="eastAsia" w:ascii="宋体" w:hAnsi="宋体" w:eastAsia="宋体" w:cs="宋体"/>
          <w:b/>
          <w:color w:val="auto"/>
          <w:highlight w:val="none"/>
        </w:rPr>
        <w:t xml:space="preserve">四、评审标准： </w:t>
      </w:r>
      <w:r/>
    </w:p>
    <w:p>
      <w:pPr>
        <w:pStyle w:val="957"/>
        <w:spacing w:before="0" w:after="0" w:line="52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（一）评审时，磋商小组以磋商文件为评审依据，磋商小组各成员独立对每个有效响应的文件进行评价、打分，然后汇总每个磋商供应商每项评审因素的得分。</w:t>
      </w:r>
      <w:r/>
    </w:p>
    <w:p>
      <w:pPr>
        <w:pStyle w:val="957"/>
        <w:spacing w:before="0" w:after="0" w:line="52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（二）本项目评分总分为100分，按四舍五入取至小数点后两位。</w:t>
      </w:r>
      <w:r/>
    </w:p>
    <w:tbl>
      <w:tblPr>
        <w:tblStyle w:val="1009"/>
        <w:tblpPr w:horzAnchor="page" w:tblpXSpec="center" w:vertAnchor="page" w:tblpY="11095" w:leftFromText="180" w:topFromText="0" w:rightFromText="180" w:bottomFromText="0"/>
        <w:tblW w:w="969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021"/>
        <w:gridCol w:w="1156"/>
        <w:gridCol w:w="7522"/>
      </w:tblGrid>
      <w:tr>
        <w:trPr>
          <w:jc w:val="center"/>
          <w:trHeight w:val="649"/>
        </w:trPr>
        <w:tc>
          <w:tcPr>
            <w:tcW w:w="1021"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评审因素</w:t>
            </w:r>
            <w:r/>
          </w:p>
        </w:tc>
        <w:tc>
          <w:tcPr>
            <w:gridSpan w:val="2"/>
            <w:tcW w:w="8678"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评审标准</w:t>
            </w:r>
            <w:r/>
          </w:p>
        </w:tc>
      </w:tr>
      <w:tr>
        <w:trPr>
          <w:jc w:val="center"/>
          <w:trHeight w:val="612"/>
        </w:trPr>
        <w:tc>
          <w:tcPr>
            <w:gridSpan w:val="3"/>
            <w:tcW w:w="9699"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采用综合评分法，满分100分，投标报价30分</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技术部分</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0分</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商务部分</w:t>
            </w: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0分</w:t>
            </w:r>
            <w:r/>
          </w:p>
        </w:tc>
      </w:tr>
      <w:tr>
        <w:trPr>
          <w:jc w:val="center"/>
          <w:trHeight w:val="2885"/>
        </w:trPr>
        <w:tc>
          <w:tcPr>
            <w:tcW w:w="1021"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投标报价</w:t>
            </w:r>
            <w:r/>
          </w:p>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(30分)</w:t>
            </w:r>
            <w:r/>
          </w:p>
        </w:tc>
        <w:tc>
          <w:tcPr>
            <w:gridSpan w:val="2"/>
            <w:tcW w:w="8678" w:type="dxa"/>
            <w:vAlign w:val="top"/>
            <w:textDirection w:val="lrTb"/>
            <w:noWrap w:val="false"/>
          </w:tcPr>
          <w:p>
            <w:pPr>
              <w:numPr>
                <w:ilvl w:val="0"/>
                <w:numId w:val="0"/>
              </w:numPr>
              <w:spacing w:line="360" w:lineRule="auto"/>
              <w:rPr>
                <w:rFonts w:hint="eastAsia" w:ascii="宋体" w:hAnsi="宋体" w:eastAsia="宋体" w:cs="宋体"/>
                <w:color w:val="auto"/>
                <w:sz w:val="21"/>
                <w:szCs w:val="21"/>
                <w:highlight w:val="none"/>
              </w:rPr>
            </w:pPr>
            <w:r>
              <w:rPr>
                <w:rFonts w:hint="eastAsia" w:ascii="宋体" w:hAnsi="宋体" w:cs="宋体"/>
                <w:color w:val="auto"/>
                <w:sz w:val="21"/>
                <w:szCs w:val="21"/>
                <w:lang w:val="en-US" w:eastAsia="zh-CN" w:bidi="ar-SA"/>
              </w:rPr>
              <w:t xml:space="preserve">1</w:t>
            </w:r>
            <w:r>
              <w:rPr>
                <w:rFonts w:hint="eastAsia" w:ascii="宋体" w:hAnsi="宋体" w:eastAsia="宋体" w:cs="宋体"/>
                <w:color w:val="auto"/>
                <w:sz w:val="21"/>
                <w:szCs w:val="21"/>
                <w:lang w:val="en-US" w:eastAsia="zh-CN" w:bidi="ar-SA"/>
              </w:rPr>
              <w:t xml:space="preserve">.</w:t>
            </w:r>
            <w:r>
              <w:rPr>
                <w:rFonts w:hint="eastAsia" w:ascii="宋体" w:hAnsi="宋体" w:eastAsia="宋体" w:cs="宋体"/>
                <w:color w:val="auto"/>
                <w:sz w:val="21"/>
                <w:szCs w:val="21"/>
                <w:highlight w:val="none"/>
              </w:rPr>
              <w:t xml:space="preserve">价格分采用低价优先法计算，即满足招标文件要求且投标价格最低的投标报价为评标基准价，其价格分为满分。  </w:t>
            </w:r>
            <w:r/>
          </w:p>
          <w:p>
            <w:pPr>
              <w:numPr>
                <w:ilvl w:val="0"/>
                <w:numId w:val="0"/>
              </w:num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其他供应商的价格分统一按照下列公式计算：投标报价得分=(评标基准价/投标报价)×30</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注：分值计算保留两位小数。根据“财政部令第87号”第六十条的规定：评标委员会认为供应商的报价明显低于其他通过符合性审查供应商的报价，有可能影响产品质 量或者不能诚信履约的，应当要求其在评标现场合理的时间内提供书面说明，必要时提交相关证明材料；供应商不能证明其报价合理性的，评标委员会应当将其作投标无效处理。</w:t>
            </w:r>
            <w:r/>
          </w:p>
        </w:tc>
      </w:tr>
      <w:tr>
        <w:trPr>
          <w:jc w:val="center"/>
          <w:trHeight w:val="1220"/>
        </w:trPr>
        <w:tc>
          <w:tcPr>
            <w:tcBorders>
              <w:bottom w:val="none" w:color="000000" w:sz="4" w:space="0"/>
            </w:tcBorders>
            <w:tcW w:w="1021" w:type="dxa"/>
            <w:vAlign w:val="center"/>
            <w:vMerge w:val="restart"/>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技术部分</w:t>
            </w:r>
            <w:r/>
          </w:p>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0分)</w:t>
            </w:r>
            <w:r/>
          </w:p>
        </w:tc>
        <w:tc>
          <w:tcPr>
            <w:tcW w:w="1156"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供货质量保证措施 ( 5 分 )</w:t>
            </w:r>
            <w:r/>
          </w:p>
        </w:tc>
        <w:tc>
          <w:tcPr>
            <w:tcW w:w="7522" w:type="dxa"/>
            <w:vAlign w:val="center"/>
            <w:textDirection w:val="lrTb"/>
            <w:noWrap w:val="false"/>
          </w:tcPr>
          <w:p>
            <w:pPr>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根据投标人所报投标文件中供货质量保证措施进行综合评定，满分</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 分；质量保证措施好的，得</w:t>
            </w: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分；较好的得</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分，一般的，得</w:t>
            </w: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分；未提供或其他情况不得分。</w:t>
            </w:r>
            <w:r/>
          </w:p>
        </w:tc>
      </w:tr>
      <w:tr>
        <w:trPr>
          <w:jc w:val="center"/>
          <w:trHeight w:val="1220"/>
        </w:trPr>
        <w:tc>
          <w:tcPr>
            <w:tcBorders>
              <w:top w:val="none" w:color="000000" w:sz="4" w:space="0"/>
              <w:bottom w:val="none" w:color="000000" w:sz="4" w:space="0"/>
            </w:tcBorders>
            <w:tcW w:w="1021" w:type="dxa"/>
            <w:vAlign w:val="center"/>
            <w:vMerge w:val="continue"/>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56"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技术指导实施方案 (</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分)</w:t>
            </w:r>
            <w:r/>
          </w:p>
        </w:tc>
        <w:tc>
          <w:tcPr>
            <w:tcW w:w="7522" w:type="dxa"/>
            <w:vAlign w:val="center"/>
            <w:textDirection w:val="lrTb"/>
            <w:noWrap w:val="false"/>
          </w:tcPr>
          <w:p>
            <w:pPr>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投标人</w:t>
            </w:r>
            <w:r>
              <w:rPr>
                <w:rFonts w:hint="eastAsia" w:ascii="宋体" w:hAnsi="宋体" w:eastAsia="宋体" w:cs="宋体"/>
                <w:color w:val="auto"/>
                <w:sz w:val="21"/>
                <w:szCs w:val="21"/>
                <w:highlight w:val="none"/>
                <w:lang w:val="en-US" w:eastAsia="zh-CN"/>
              </w:rPr>
              <w:t xml:space="preserve">供货时需</w:t>
            </w:r>
            <w:r>
              <w:rPr>
                <w:rFonts w:hint="eastAsia" w:ascii="宋体" w:hAnsi="宋体" w:eastAsia="宋体" w:cs="宋体"/>
                <w:color w:val="auto"/>
                <w:sz w:val="21"/>
                <w:szCs w:val="21"/>
                <w:highlight w:val="none"/>
              </w:rPr>
              <w:t xml:space="preserve">有科学、具体的技术指导，必须配置技术指导人员农业专家至少1名，</w:t>
            </w:r>
            <w:r>
              <w:rPr>
                <w:rFonts w:hint="eastAsia" w:ascii="宋体" w:hAnsi="宋体" w:eastAsia="宋体" w:cs="宋体"/>
                <w:color w:val="auto"/>
                <w:sz w:val="21"/>
                <w:szCs w:val="21"/>
                <w:highlight w:val="none"/>
                <w:lang w:val="en-US" w:eastAsia="zh-CN"/>
              </w:rPr>
              <w:t xml:space="preserve">高级职称</w:t>
            </w:r>
            <w:r>
              <w:rPr>
                <w:rFonts w:hint="eastAsia" w:ascii="宋体" w:hAnsi="宋体" w:eastAsia="宋体" w:cs="宋体"/>
                <w:color w:val="auto"/>
                <w:sz w:val="21"/>
                <w:szCs w:val="21"/>
                <w:highlight w:val="none"/>
              </w:rPr>
              <w:t xml:space="preserve">，得</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val="en-US" w:eastAsia="zh-CN"/>
              </w:rPr>
              <w:t xml:space="preserve">中级职称</w:t>
            </w:r>
            <w:r>
              <w:rPr>
                <w:rFonts w:hint="eastAsia" w:ascii="宋体" w:hAnsi="宋体" w:eastAsia="宋体" w:cs="宋体"/>
                <w:color w:val="auto"/>
                <w:sz w:val="21"/>
                <w:szCs w:val="21"/>
                <w:highlight w:val="none"/>
              </w:rPr>
              <w:t xml:space="preserve">，得</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val="en-US" w:eastAsia="zh-CN"/>
              </w:rPr>
              <w:t xml:space="preserve">初级职称</w:t>
            </w:r>
            <w:r>
              <w:rPr>
                <w:rFonts w:hint="eastAsia" w:ascii="宋体" w:hAnsi="宋体" w:eastAsia="宋体" w:cs="宋体"/>
                <w:color w:val="auto"/>
                <w:sz w:val="21"/>
                <w:szCs w:val="21"/>
                <w:highlight w:val="none"/>
              </w:rPr>
              <w:t xml:space="preserve">，得</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分；未提供</w:t>
            </w:r>
            <w:r>
              <w:rPr>
                <w:rFonts w:hint="eastAsia" w:ascii="宋体" w:hAnsi="宋体" w:eastAsia="宋体" w:cs="宋体"/>
                <w:color w:val="auto"/>
                <w:sz w:val="21"/>
                <w:szCs w:val="21"/>
                <w:highlight w:val="none"/>
                <w:lang w:val="en-US" w:eastAsia="zh-CN"/>
              </w:rPr>
              <w:t xml:space="preserve">相关材料</w:t>
            </w:r>
            <w:r>
              <w:rPr>
                <w:rFonts w:hint="eastAsia" w:ascii="宋体" w:hAnsi="宋体" w:eastAsia="宋体" w:cs="宋体"/>
                <w:color w:val="auto"/>
                <w:sz w:val="21"/>
                <w:szCs w:val="21"/>
                <w:highlight w:val="none"/>
              </w:rPr>
              <w:t xml:space="preserve">不得分。</w:t>
            </w:r>
            <w:r/>
          </w:p>
        </w:tc>
      </w:tr>
      <w:tr>
        <w:trPr>
          <w:jc w:val="center"/>
          <w:trHeight w:val="2430"/>
        </w:trPr>
        <w:tc>
          <w:tcPr>
            <w:tcBorders>
              <w:top w:val="none" w:color="000000" w:sz="4" w:space="0"/>
              <w:bottom w:val="none" w:color="000000" w:sz="4" w:space="0"/>
            </w:tcBorders>
            <w:tcW w:w="1021" w:type="dxa"/>
            <w:vAlign w:val="center"/>
            <w:vMerge w:val="continue"/>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56"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货物性能及技术指标响应</w:t>
            </w:r>
            <w:r/>
          </w:p>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(10分)</w:t>
            </w:r>
            <w:r/>
          </w:p>
        </w:tc>
        <w:tc>
          <w:tcPr>
            <w:tcW w:w="7522" w:type="dxa"/>
            <w:vAlign w:val="center"/>
            <w:textDirection w:val="lrTb"/>
            <w:noWrap w:val="false"/>
          </w:tcPr>
          <w:p>
            <w:pPr>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1.投标产品须为全生物降解地膜材料，提供不含有任何形态的聚乙烯 (PE)或聚烯烃类等不可生物降解材料的证明，得5分。(证明材料需为省级以上具有相关资质的检测机构，没有检测报告不得分。)</w:t>
            </w:r>
            <w:r/>
          </w:p>
          <w:p>
            <w:pPr>
              <w:jc w:val="both"/>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2.投标产品的技术参数，完全满足招标文件的，功能及其他参数不低于采购参数的得5分，不符合要求的项每项扣2 分，扣完为止。本项技术指标得分为零作无效投标处理。</w:t>
            </w:r>
            <w:r/>
          </w:p>
        </w:tc>
      </w:tr>
      <w:tr>
        <w:trPr>
          <w:jc w:val="center"/>
          <w:trHeight w:val="1646"/>
        </w:trPr>
        <w:tc>
          <w:tcPr>
            <w:tcBorders>
              <w:top w:val="none" w:color="000000" w:sz="4" w:space="0"/>
              <w:bottom w:val="none" w:color="000000" w:sz="4" w:space="0"/>
            </w:tcBorders>
            <w:tcW w:w="1021"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56"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售后服务(</w:t>
            </w:r>
            <w:r>
              <w:rPr>
                <w:rFonts w:hint="eastAsia" w:ascii="宋体" w:hAnsi="宋体" w:eastAsia="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rPr>
              <w:t xml:space="preserve">)</w:t>
            </w:r>
            <w:r/>
          </w:p>
        </w:tc>
        <w:tc>
          <w:tcPr>
            <w:tcW w:w="7522" w:type="dxa"/>
            <w:vAlign w:val="center"/>
            <w:textDirection w:val="lrTb"/>
            <w:noWrap w:val="false"/>
          </w:tcPr>
          <w:p>
            <w:pPr>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售后服务计划、措施：针对该项目须有详尽的组织配送、验收、售后等方面的服务计划、能力、措施。服务计划、措施好的，得</w:t>
            </w:r>
            <w:r>
              <w:rPr>
                <w:rFonts w:hint="eastAsia" w:ascii="宋体" w:hAnsi="宋体" w:eastAsia="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rPr>
              <w:t xml:space="preserve">分；较好的得</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分，一般的，得</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分；未提供或其他情况不得分。</w:t>
            </w:r>
            <w:r/>
          </w:p>
        </w:tc>
      </w:tr>
      <w:tr>
        <w:trPr>
          <w:jc w:val="center"/>
          <w:trHeight w:val="1232"/>
        </w:trPr>
        <w:tc>
          <w:tcPr>
            <w:tcW w:w="1021" w:type="dxa"/>
            <w:vAlign w:val="center"/>
            <w:vMerge w:val="restart"/>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商务部分 </w:t>
            </w:r>
            <w:r/>
          </w:p>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0分)</w:t>
            </w:r>
            <w:r/>
          </w:p>
        </w:tc>
        <w:tc>
          <w:tcPr>
            <w:tcW w:w="1156" w:type="dxa"/>
            <w:vAlign w:val="center"/>
            <w:textDirection w:val="lrTb"/>
            <w:noWrap w:val="false"/>
          </w:tcPr>
          <w:p>
            <w:pPr>
              <w:jc w:val="center"/>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业绩( </w:t>
            </w:r>
            <w:r>
              <w:rPr>
                <w:rFonts w:hint="eastAsia" w:ascii="宋体" w:hAnsi="宋体" w:eastAsia="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rPr>
              <w:t xml:space="preserve"> 分 )</w:t>
            </w:r>
            <w:r/>
          </w:p>
        </w:tc>
        <w:tc>
          <w:tcPr>
            <w:tcW w:w="7522" w:type="dxa"/>
            <w:vAlign w:val="center"/>
            <w:textDirection w:val="lrTb"/>
            <w:noWrap w:val="false"/>
          </w:tcPr>
          <w:p>
            <w:pPr>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产品生产厂家或经销商</w:t>
            </w:r>
            <w:r>
              <w:rPr>
                <w:rFonts w:hint="eastAsia" w:ascii="宋体" w:hAnsi="宋体" w:eastAsia="宋体" w:cs="宋体"/>
                <w:color w:val="auto"/>
                <w:sz w:val="21"/>
                <w:szCs w:val="21"/>
                <w:highlight w:val="none"/>
              </w:rPr>
              <w:t xml:space="preserve">提供2022年1月1日以来所投标产品的成功案例合同，每份得</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val="en-US" w:eastAsia="zh-CN"/>
              </w:rPr>
              <w:t xml:space="preserve">最多得10</w:t>
            </w:r>
            <w:r>
              <w:rPr>
                <w:rFonts w:hint="eastAsia" w:ascii="宋体" w:hAnsi="宋体" w:eastAsia="宋体" w:cs="宋体"/>
                <w:color w:val="auto"/>
                <w:sz w:val="21"/>
                <w:szCs w:val="21"/>
                <w:highlight w:val="none"/>
              </w:rPr>
              <w:t xml:space="preserve">分。(须在投标文件中提供中标通知书及相关合同扫描件，否则此项不得分)</w:t>
            </w:r>
            <w:r/>
          </w:p>
        </w:tc>
      </w:tr>
      <w:tr>
        <w:trPr>
          <w:jc w:val="center"/>
          <w:trHeight w:val="1220"/>
        </w:trPr>
        <w:tc>
          <w:tcPr>
            <w:tcW w:w="1021" w:type="dxa"/>
            <w:vAlign w:val="top"/>
            <w:vMerge w:val="continue"/>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56"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试验示范</w:t>
            </w:r>
            <w:r/>
          </w:p>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rPr>
              <w:t xml:space="preserve">分)</w:t>
            </w:r>
            <w:r/>
          </w:p>
        </w:tc>
        <w:tc>
          <w:tcPr>
            <w:tcW w:w="7522" w:type="dxa"/>
            <w:vAlign w:val="center"/>
            <w:textDirection w:val="lrTb"/>
            <w:noWrap w:val="false"/>
          </w:tcPr>
          <w:p>
            <w:pPr>
              <w:numPr>
                <w:ilvl w:val="0"/>
                <w:numId w:val="0"/>
              </w:numPr>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lang w:val="en-US" w:eastAsia="zh-CN" w:bidi="ar-SA"/>
              </w:rPr>
              <w:t xml:space="preserve">1、</w:t>
            </w:r>
            <w:r>
              <w:rPr>
                <w:rFonts w:hint="eastAsia" w:ascii="宋体" w:hAnsi="宋体" w:eastAsia="宋体" w:cs="宋体"/>
                <w:color w:val="auto"/>
                <w:sz w:val="21"/>
                <w:szCs w:val="21"/>
                <w:highlight w:val="none"/>
              </w:rPr>
              <w:t xml:space="preserve">投标产品有国家级农业部门(农业农村部或中国农科院)生物降解地膜试验应用报告的，每份报告得</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分，最高得</w:t>
            </w:r>
            <w:r>
              <w:rPr>
                <w:rFonts w:hint="eastAsia" w:ascii="宋体" w:hAnsi="宋体" w:eastAsia="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rPr>
              <w:t xml:space="preserve">分。(须在投标文件中提供相关证明文件扫描件，否则此项不得分)</w:t>
            </w:r>
            <w:r>
              <w:rPr>
                <w:rFonts w:hint="eastAsia" w:ascii="宋体" w:hAnsi="宋体" w:eastAsia="宋体" w:cs="宋体"/>
                <w:color w:val="auto"/>
                <w:sz w:val="21"/>
                <w:szCs w:val="21"/>
                <w:highlight w:val="none"/>
                <w:lang w:val="en-US" w:eastAsia="zh-CN"/>
              </w:rPr>
              <w:t xml:space="preserve">   </w:t>
            </w:r>
            <w:r/>
          </w:p>
        </w:tc>
      </w:tr>
      <w:tr>
        <w:trPr>
          <w:jc w:val="center"/>
          <w:trHeight w:val="2026"/>
        </w:trPr>
        <w:tc>
          <w:tcPr>
            <w:tcW w:w="1021" w:type="dxa"/>
            <w:vAlign w:val="top"/>
            <w:vMerge w:val="continue"/>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56"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技术能力证明(</w:t>
            </w:r>
            <w:r>
              <w:rPr>
                <w:rFonts w:hint="eastAsia" w:ascii="宋体" w:hAnsi="宋体" w:eastAsia="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rPr>
              <w:t xml:space="preserve">分)</w:t>
            </w:r>
            <w:r/>
          </w:p>
        </w:tc>
        <w:tc>
          <w:tcPr>
            <w:tcW w:w="7522" w:type="dxa"/>
            <w:vAlign w:val="center"/>
            <w:textDirection w:val="lrTb"/>
            <w:noWrap w:val="false"/>
          </w:tcPr>
          <w:p>
            <w:pPr>
              <w:numPr>
                <w:ilvl w:val="0"/>
                <w:numId w:val="0"/>
              </w:numPr>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地膜制造商具有生物降解地膜相关的部级相关部门及以上奖项的，得 5分。(须在投标文件中提供相关证明文件扫描件，否则此项不得分)</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w:t>
            </w:r>
            <w:r/>
          </w:p>
          <w:p>
            <w:pPr>
              <w:numPr>
                <w:ilvl w:val="0"/>
                <w:numId w:val="0"/>
              </w:numPr>
              <w:ind w:left="0" w:firstLine="0"/>
              <w:jc w:val="both"/>
              <w:spacing w:line="360" w:lineRule="auto"/>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lang w:val="en-US" w:eastAsia="zh-CN"/>
              </w:rPr>
              <w:t xml:space="preserve">2、</w:t>
            </w:r>
            <w:r>
              <w:rPr>
                <w:rFonts w:hint="eastAsia" w:ascii="宋体" w:hAnsi="宋体" w:eastAsia="宋体" w:cs="宋体"/>
                <w:b/>
                <w:bCs/>
                <w:color w:val="auto"/>
                <w:sz w:val="21"/>
                <w:szCs w:val="21"/>
                <w:highlight w:val="none"/>
              </w:rPr>
              <w:t xml:space="preserve">用户评价</w:t>
            </w:r>
            <w:r>
              <w:rPr>
                <w:rFonts w:hint="eastAsia" w:ascii="宋体" w:hAnsi="宋体" w:eastAsia="宋体" w:cs="宋体"/>
                <w:b/>
                <w:bCs/>
                <w:color w:val="auto"/>
                <w:sz w:val="21"/>
                <w:szCs w:val="21"/>
                <w:highlight w:val="none"/>
                <w:lang w:val="en-US" w:eastAsia="zh-CN"/>
              </w:rPr>
              <w:t xml:space="preserve">。产品生产厂家或经销商</w:t>
            </w:r>
            <w:r>
              <w:rPr>
                <w:rFonts w:hint="eastAsia" w:ascii="宋体" w:hAnsi="宋体" w:eastAsia="宋体" w:cs="宋体"/>
                <w:b/>
                <w:bCs/>
                <w:color w:val="auto"/>
                <w:sz w:val="21"/>
                <w:szCs w:val="21"/>
                <w:highlight w:val="none"/>
              </w:rPr>
              <w:t xml:space="preserve">提供近 3 年</w:t>
            </w:r>
            <w:r>
              <w:rPr>
                <w:rFonts w:hint="eastAsia" w:ascii="宋体" w:hAnsi="宋体" w:eastAsia="宋体" w:cs="宋体"/>
                <w:b/>
                <w:bCs/>
                <w:color w:val="auto"/>
                <w:sz w:val="21"/>
                <w:szCs w:val="21"/>
                <w:highlight w:val="none"/>
                <w:lang w:val="en-US" w:eastAsia="zh-CN"/>
              </w:rPr>
              <w:t xml:space="preserve">投标产品或</w:t>
            </w:r>
            <w:r>
              <w:rPr>
                <w:rFonts w:hint="eastAsia" w:ascii="宋体" w:hAnsi="宋体" w:eastAsia="宋体" w:cs="宋体"/>
                <w:b/>
                <w:bCs/>
                <w:color w:val="auto"/>
                <w:sz w:val="21"/>
                <w:szCs w:val="21"/>
                <w:highlight w:val="none"/>
              </w:rPr>
              <w:t xml:space="preserve">类似</w:t>
            </w:r>
            <w:r>
              <w:rPr>
                <w:rFonts w:hint="eastAsia" w:ascii="宋体" w:hAnsi="宋体" w:eastAsia="宋体" w:cs="宋体"/>
                <w:b/>
                <w:bCs/>
                <w:color w:val="auto"/>
                <w:sz w:val="21"/>
                <w:szCs w:val="21"/>
                <w:highlight w:val="none"/>
                <w:lang w:val="en-US" w:eastAsia="zh-CN"/>
              </w:rPr>
              <w:t xml:space="preserve">产品</w:t>
            </w:r>
            <w:r>
              <w:rPr>
                <w:rFonts w:hint="eastAsia" w:ascii="宋体" w:hAnsi="宋体" w:eastAsia="宋体" w:cs="宋体"/>
                <w:b/>
                <w:bCs/>
                <w:color w:val="auto"/>
                <w:sz w:val="21"/>
                <w:szCs w:val="21"/>
                <w:highlight w:val="none"/>
              </w:rPr>
              <w:t xml:space="preserve">经营业绩用户评价意见(须在投标文件中提供相关证明文件扫描件，否则此项不得分)</w:t>
            </w:r>
            <w:r>
              <w:rPr>
                <w:rFonts w:hint="eastAsia" w:ascii="宋体" w:hAnsi="宋体" w:eastAsia="宋体" w:cs="宋体"/>
                <w:b/>
                <w:bCs/>
                <w:color w:val="auto"/>
                <w:sz w:val="21"/>
                <w:szCs w:val="21"/>
                <w:highlight w:val="none"/>
                <w:lang w:val="en-US" w:eastAsia="zh-CN"/>
              </w:rPr>
              <w:t xml:space="preserve"> </w:t>
            </w:r>
            <w:r>
              <w:rPr>
                <w:rFonts w:hint="eastAsia" w:ascii="宋体" w:hAnsi="宋体" w:eastAsia="宋体" w:cs="宋体"/>
                <w:b/>
                <w:bCs/>
                <w:color w:val="auto"/>
                <w:sz w:val="21"/>
                <w:szCs w:val="21"/>
                <w:highlight w:val="none"/>
              </w:rPr>
              <w:t xml:space="preserve">。用户综合评价意见为“</w:t>
            </w:r>
            <w:r>
              <w:rPr>
                <w:rFonts w:hint="eastAsia" w:ascii="宋体" w:hAnsi="宋体" w:eastAsia="宋体" w:cs="宋体"/>
                <w:b/>
                <w:bCs/>
                <w:color w:val="auto"/>
                <w:sz w:val="21"/>
                <w:szCs w:val="21"/>
                <w:highlight w:val="none"/>
                <w:lang w:val="en-US" w:eastAsia="zh-CN"/>
              </w:rPr>
              <w:t xml:space="preserve">优秀或满意</w:t>
            </w:r>
            <w:r>
              <w:rPr>
                <w:rFonts w:hint="eastAsia" w:ascii="宋体" w:hAnsi="宋体" w:eastAsia="宋体" w:cs="宋体"/>
                <w:b/>
                <w:bCs/>
                <w:color w:val="auto"/>
                <w:sz w:val="21"/>
                <w:szCs w:val="21"/>
                <w:highlight w:val="none"/>
              </w:rPr>
              <w:t xml:space="preserve">”的，每一份 </w:t>
            </w:r>
            <w:r>
              <w:rPr>
                <w:rFonts w:hint="eastAsia" w:ascii="宋体" w:hAnsi="宋体" w:eastAsia="宋体" w:cs="宋体"/>
                <w:b/>
                <w:bCs/>
                <w:color w:val="auto"/>
                <w:sz w:val="21"/>
                <w:szCs w:val="21"/>
                <w:highlight w:val="none"/>
                <w:lang w:val="en-US" w:eastAsia="zh-CN"/>
              </w:rPr>
              <w:t xml:space="preserve">得</w:t>
            </w:r>
            <w:r>
              <w:rPr>
                <w:rFonts w:hint="eastAsia" w:ascii="宋体" w:hAnsi="宋体" w:eastAsia="宋体" w:cs="宋体"/>
                <w:b/>
                <w:bCs/>
                <w:color w:val="auto"/>
                <w:sz w:val="21"/>
                <w:szCs w:val="21"/>
                <w:highlight w:val="none"/>
              </w:rPr>
              <w:t xml:space="preserve"> </w:t>
            </w:r>
            <w:r>
              <w:rPr>
                <w:rFonts w:hint="eastAsia" w:ascii="宋体" w:hAnsi="宋体" w:eastAsia="宋体" w:cs="宋体"/>
                <w:b/>
                <w:bCs/>
                <w:color w:val="auto"/>
                <w:sz w:val="21"/>
                <w:szCs w:val="21"/>
                <w:highlight w:val="none"/>
                <w:lang w:val="en-US" w:eastAsia="zh-CN"/>
              </w:rPr>
              <w:t xml:space="preserve">2.5</w:t>
            </w:r>
            <w:r>
              <w:rPr>
                <w:rFonts w:hint="eastAsia" w:ascii="宋体" w:hAnsi="宋体" w:eastAsia="宋体" w:cs="宋体"/>
                <w:b/>
                <w:bCs/>
                <w:color w:val="auto"/>
                <w:sz w:val="21"/>
                <w:szCs w:val="21"/>
                <w:highlight w:val="none"/>
              </w:rPr>
              <w:t xml:space="preserve"> 分。最多</w:t>
            </w:r>
            <w:r>
              <w:rPr>
                <w:rFonts w:hint="eastAsia" w:ascii="宋体" w:hAnsi="宋体" w:eastAsia="宋体" w:cs="宋体"/>
                <w:b/>
                <w:bCs/>
                <w:color w:val="auto"/>
                <w:sz w:val="21"/>
                <w:szCs w:val="21"/>
                <w:highlight w:val="none"/>
                <w:lang w:val="en-US" w:eastAsia="zh-CN"/>
              </w:rPr>
              <w:t xml:space="preserve">得</w:t>
            </w:r>
            <w:r>
              <w:rPr>
                <w:rFonts w:hint="eastAsia" w:ascii="宋体" w:hAnsi="宋体" w:eastAsia="宋体" w:cs="宋体"/>
                <w:b/>
                <w:bCs/>
                <w:color w:val="auto"/>
                <w:sz w:val="21"/>
                <w:szCs w:val="21"/>
                <w:highlight w:val="none"/>
              </w:rPr>
              <w:t xml:space="preserve"> 5 分</w:t>
            </w:r>
            <w:r>
              <w:rPr>
                <w:rFonts w:hint="eastAsia" w:ascii="宋体" w:hAnsi="宋体" w:eastAsia="宋体" w:cs="宋体"/>
                <w:b/>
                <w:bCs/>
                <w:color w:val="auto"/>
                <w:sz w:val="21"/>
                <w:szCs w:val="21"/>
                <w:highlight w:val="none"/>
                <w:lang w:eastAsia="zh-CN"/>
              </w:rPr>
              <w:t xml:space="preserve">。</w:t>
            </w:r>
            <w:r/>
          </w:p>
        </w:tc>
      </w:tr>
      <w:tr>
        <w:trPr>
          <w:jc w:val="center"/>
          <w:trHeight w:val="1101"/>
        </w:trPr>
        <w:tc>
          <w:tcPr>
            <w:tcW w:w="1021" w:type="dxa"/>
            <w:vAlign w:val="top"/>
            <w:vMerge w:val="continue"/>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56"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发明专利</w:t>
            </w:r>
            <w:r/>
          </w:p>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rPr>
              <w:t xml:space="preserve">分)</w:t>
            </w:r>
            <w:r/>
          </w:p>
        </w:tc>
        <w:tc>
          <w:tcPr>
            <w:tcW w:w="7522" w:type="dxa"/>
            <w:vAlign w:val="center"/>
            <w:textDirection w:val="lrTb"/>
            <w:noWrap w:val="false"/>
          </w:tcPr>
          <w:p>
            <w:pPr>
              <w:jc w:val="both"/>
              <w:spacing w:line="360" w:lineRule="auto"/>
              <w:rPr>
                <w:rFonts w:hint="eastAsia" w:ascii="宋体" w:hAnsi="宋体" w:eastAsia="宋体" w:cs="宋体"/>
                <w:b/>
                <w:bCs/>
                <w:color w:val="auto"/>
                <w:sz w:val="21"/>
                <w:szCs w:val="21"/>
                <w:highlight w:val="none"/>
                <w:lang w:val="en-US" w:eastAsia="zh-CN"/>
              </w:rPr>
            </w:pPr>
            <w:r>
              <w:rPr>
                <w:rFonts w:hint="eastAsia" w:ascii="宋体" w:hAnsi="宋体" w:eastAsia="宋体" w:cs="宋体"/>
                <w:color w:val="auto"/>
                <w:sz w:val="21"/>
                <w:szCs w:val="21"/>
                <w:highlight w:val="none"/>
              </w:rPr>
              <w:t xml:space="preserve">具有与本项目招标货物相关的有效专利证书，每提供一个得</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分，最高得</w:t>
            </w:r>
            <w:r>
              <w:rPr>
                <w:rFonts w:hint="eastAsia" w:ascii="宋体" w:hAnsi="宋体" w:eastAsia="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rPr>
              <w:t xml:space="preserve">分。(须在投标文件中提供相关证明文件扫描件，否则此项不得分 )</w:t>
            </w:r>
            <w:r/>
          </w:p>
        </w:tc>
      </w:tr>
    </w:tbl>
    <w:p>
      <w:pPr>
        <w:pStyle w:val="761"/>
        <w:numPr>
          <w:ilvl w:val="0"/>
          <w:numId w:val="0"/>
        </w:numPr>
        <w:ind w:firstLine="480"/>
        <w:spacing w:line="360" w:lineRule="auto"/>
        <w:tabs>
          <w:tab w:val="left" w:pos="720" w:leader="none"/>
          <w:tab w:val="clear" w:pos="916"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lang w:val="en-US" w:eastAsia="zh-CN" w:bidi="ar-SA"/>
        </w:rPr>
        <w:t xml:space="preserve">五、</w:t>
      </w:r>
      <w:r>
        <w:rPr>
          <w:rFonts w:hint="eastAsia" w:ascii="宋体" w:hAnsi="宋体" w:eastAsia="宋体" w:cs="宋体"/>
          <w:bCs/>
          <w:color w:val="auto"/>
          <w:sz w:val="24"/>
          <w:szCs w:val="24"/>
          <w:highlight w:val="none"/>
        </w:rPr>
        <w:t xml:space="preserve">磋商小组根据综合评分情况，按照评审得分由高到低顺序推荐3名以上成交候选供应商，符合《政府采购竞争性磋商采购方式管理暂行办法》第二十一条第三款情形的，可以推荐2家成交候选供应商。评审得分相同的，按照最后报价由低到高的顺序推荐。评审得分且最后报价相同的，按照技术指标优劣顺序推荐。</w:t>
      </w:r>
      <w:r/>
    </w:p>
    <w:p>
      <w:pPr>
        <w:pStyle w:val="761"/>
        <w:numPr>
          <w:ilvl w:val="0"/>
          <w:numId w:val="0"/>
        </w:numPr>
        <w:spacing w:line="360" w:lineRule="auto"/>
        <w:tabs>
          <w:tab w:val="left" w:pos="720" w:leader="none"/>
          <w:tab w:val="clear" w:pos="916"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rPr>
          <w:rFonts w:hint="eastAsia" w:ascii="宋体" w:hAnsi="宋体" w:eastAsia="宋体" w:cs="宋体"/>
          <w:color w:val="auto"/>
          <w:highlight w:val="none"/>
        </w:rPr>
      </w:pPr>
      <w:r/>
      <w:bookmarkStart w:id="196" w:name="_Toc2728"/>
      <w:r/>
      <w:bookmarkStart w:id="197" w:name="_Toc29155"/>
      <w:r/>
      <w:bookmarkStart w:id="198" w:name="_Toc28724"/>
      <w:r/>
      <w:bookmarkStart w:id="199" w:name="_Toc465856616"/>
      <w:r/>
      <w:r/>
    </w:p>
    <w:p>
      <w:pPr>
        <w:pStyle w:val="716"/>
        <w:rPr>
          <w:rFonts w:hint="eastAsia" w:ascii="宋体" w:hAnsi="宋体" w:eastAsia="宋体" w:cs="宋体"/>
          <w:color w:val="auto"/>
          <w:highlight w:val="none"/>
        </w:rPr>
      </w:pPr>
      <w:r/>
      <w:bookmarkStart w:id="200" w:name="_Toc9369"/>
      <w:r>
        <w:rPr>
          <w:rFonts w:hint="eastAsia" w:ascii="宋体" w:hAnsi="宋体" w:eastAsia="宋体" w:cs="宋体"/>
          <w:color w:val="auto"/>
          <w:highlight w:val="none"/>
        </w:rPr>
        <w:t xml:space="preserve">第六章  响应文件格式</w:t>
      </w:r>
      <w:bookmarkEnd w:id="196"/>
      <w:r/>
      <w:bookmarkEnd w:id="197"/>
      <w:r/>
      <w:bookmarkEnd w:id="198"/>
      <w:r/>
      <w:bookmarkEnd w:id="199"/>
      <w:r/>
      <w:bookmarkEnd w:id="200"/>
      <w:r/>
      <w:r/>
    </w:p>
    <w:p>
      <w:pPr>
        <w:pStyle w:val="738"/>
        <w:ind w:left="1874" w:right="1470" w:firstLine="0"/>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rPr>
          <w:rFonts w:hint="eastAsia" w:ascii="宋体" w:hAnsi="宋体" w:eastAsia="宋体" w:cs="宋体"/>
          <w:b/>
          <w:color w:val="auto"/>
          <w:sz w:val="72"/>
          <w:szCs w:val="21"/>
          <w:highlight w:val="none"/>
        </w:rPr>
        <w:outlineLvl w:val="0"/>
      </w:pPr>
      <w:r/>
      <w:bookmarkStart w:id="201" w:name="_Toc6410"/>
      <w:r/>
      <w:bookmarkStart w:id="202" w:name="_Toc28003"/>
      <w:r/>
      <w:bookmarkStart w:id="203" w:name="_Toc5501"/>
      <w:r/>
      <w:bookmarkStart w:id="204" w:name="_Toc22356583"/>
      <w:r/>
      <w:bookmarkStart w:id="205" w:name="_Toc24878535"/>
      <w:r/>
      <w:bookmarkStart w:id="206" w:name="_Toc26554103"/>
      <w:r/>
      <w:bookmarkStart w:id="207" w:name="_Toc120614284"/>
      <w:r/>
      <w:bookmarkStart w:id="208" w:name="_Toc49090582"/>
      <w:r/>
      <w:bookmarkStart w:id="209" w:name="_Toc513029281"/>
      <w:r/>
      <w:bookmarkStart w:id="210" w:name="_Toc120614291"/>
      <w:r/>
      <w:bookmarkStart w:id="211" w:name="_Toc23828483"/>
      <w:r/>
      <w:r/>
    </w:p>
    <w:p>
      <w:pPr>
        <w:jc w:val="center"/>
        <w:rPr>
          <w:rFonts w:hint="eastAsia" w:ascii="宋体" w:hAnsi="宋体" w:eastAsia="宋体" w:cs="宋体"/>
          <w:b/>
          <w:color w:val="auto"/>
          <w:sz w:val="72"/>
          <w:szCs w:val="21"/>
          <w:highlight w:val="none"/>
        </w:rPr>
        <w:outlineLvl w:val="0"/>
      </w:pPr>
      <w:r>
        <w:rPr>
          <w:rFonts w:hint="eastAsia" w:ascii="宋体" w:hAnsi="宋体" w:eastAsia="宋体" w:cs="宋体"/>
          <w:b/>
          <w:color w:val="auto"/>
          <w:sz w:val="72"/>
          <w:szCs w:val="21"/>
          <w:highlight w:val="none"/>
        </w:rPr>
      </w:r>
      <w:r/>
    </w:p>
    <w:p>
      <w:pPr>
        <w:jc w:val="center"/>
        <w:rPr>
          <w:rFonts w:hint="eastAsia" w:ascii="宋体" w:hAnsi="宋体" w:eastAsia="宋体" w:cs="宋体"/>
          <w:b/>
          <w:color w:val="auto"/>
          <w:sz w:val="72"/>
          <w:szCs w:val="21"/>
          <w:highlight w:val="none"/>
        </w:rPr>
        <w:outlineLvl w:val="0"/>
      </w:pPr>
      <w:r>
        <w:rPr>
          <w:rFonts w:hint="eastAsia" w:ascii="宋体" w:hAnsi="宋体" w:eastAsia="宋体" w:cs="宋体"/>
          <w:b/>
          <w:color w:val="auto"/>
          <w:sz w:val="72"/>
          <w:szCs w:val="21"/>
          <w:highlight w:val="none"/>
        </w:rPr>
        <w:t xml:space="preserve">竞争性磋商响应文件</w:t>
      </w:r>
      <w:bookmarkEnd w:id="201"/>
      <w:r/>
      <w:bookmarkEnd w:id="202"/>
      <w:r/>
      <w:bookmarkEnd w:id="203"/>
      <w:r/>
      <w:r/>
    </w:p>
    <w:p>
      <w:pPr>
        <w:pStyle w:val="957"/>
        <w:ind w:firstLine="0"/>
        <w:jc w:val="center"/>
        <w:rPr>
          <w:rFonts w:hint="eastAsia" w:ascii="宋体" w:hAnsi="宋体" w:eastAsia="宋体" w:cs="宋体"/>
          <w:b/>
          <w:bCs/>
          <w:color w:val="auto"/>
          <w:sz w:val="32"/>
          <w:highlight w:val="none"/>
        </w:rPr>
      </w:pPr>
      <w:r>
        <w:rPr>
          <w:rFonts w:hint="eastAsia" w:ascii="宋体" w:hAnsi="宋体" w:eastAsia="宋体" w:cs="宋体"/>
          <w:b/>
          <w:bCs/>
          <w:color w:val="auto"/>
          <w:sz w:val="32"/>
          <w:highlight w:val="none"/>
        </w:rPr>
      </w:r>
      <w:r/>
    </w:p>
    <w:p>
      <w:pPr>
        <w:ind w:firstLine="1084"/>
        <w:rPr>
          <w:rFonts w:hint="eastAsia" w:ascii="宋体" w:hAnsi="宋体" w:eastAsia="宋体" w:cs="宋体"/>
          <w:b/>
          <w:color w:val="auto"/>
          <w:sz w:val="36"/>
          <w:szCs w:val="21"/>
          <w:highlight w:val="none"/>
        </w:rPr>
        <w:outlineLvl w:val="0"/>
      </w:pPr>
      <w:r/>
      <w:bookmarkStart w:id="212" w:name="_Toc20450"/>
      <w:r/>
      <w:bookmarkStart w:id="213" w:name="_Toc14441"/>
      <w:r/>
      <w:bookmarkStart w:id="214" w:name="_Toc30592"/>
      <w:r>
        <w:rPr>
          <w:rFonts w:hint="eastAsia" w:ascii="宋体" w:hAnsi="宋体" w:eastAsia="宋体" w:cs="宋体"/>
          <w:b/>
          <w:color w:val="auto"/>
          <w:sz w:val="36"/>
          <w:szCs w:val="21"/>
          <w:highlight w:val="none"/>
        </w:rPr>
        <w:t xml:space="preserve">（正或副）本</w:t>
      </w:r>
      <w:bookmarkEnd w:id="212"/>
      <w:r/>
      <w:bookmarkEnd w:id="213"/>
      <w:r/>
      <w:bookmarkEnd w:id="214"/>
      <w:r/>
      <w:r/>
    </w:p>
    <w:p>
      <w:pPr>
        <w:ind w:firstLine="1084"/>
        <w:rPr>
          <w:rFonts w:hint="eastAsia" w:ascii="宋体" w:hAnsi="宋体" w:eastAsia="宋体" w:cs="宋体"/>
          <w:b/>
          <w:color w:val="auto"/>
          <w:sz w:val="36"/>
          <w:szCs w:val="21"/>
          <w:highlight w:val="none"/>
        </w:rPr>
      </w:pPr>
      <w:r>
        <w:rPr>
          <w:rFonts w:hint="eastAsia" w:ascii="宋体" w:hAnsi="宋体" w:eastAsia="宋体" w:cs="宋体"/>
          <w:b/>
          <w:color w:val="auto"/>
          <w:sz w:val="36"/>
          <w:szCs w:val="21"/>
          <w:highlight w:val="none"/>
        </w:rPr>
      </w:r>
      <w:r/>
    </w:p>
    <w:p>
      <w:pPr>
        <w:ind w:firstLine="1084"/>
        <w:rPr>
          <w:rFonts w:hint="eastAsia" w:ascii="宋体" w:hAnsi="宋体" w:eastAsia="宋体" w:cs="宋体"/>
          <w:b/>
          <w:color w:val="auto"/>
          <w:sz w:val="36"/>
          <w:szCs w:val="21"/>
          <w:highlight w:val="none"/>
        </w:rPr>
      </w:pPr>
      <w:r>
        <w:rPr>
          <w:rFonts w:hint="eastAsia" w:ascii="宋体" w:hAnsi="宋体" w:eastAsia="宋体" w:cs="宋体"/>
          <w:b/>
          <w:color w:val="auto"/>
          <w:sz w:val="36"/>
          <w:szCs w:val="21"/>
          <w:highlight w:val="none"/>
        </w:rPr>
      </w:r>
      <w:r/>
    </w:p>
    <w:p>
      <w:pPr>
        <w:ind w:firstLine="1084"/>
        <w:rPr>
          <w:rFonts w:hint="eastAsia" w:ascii="宋体" w:hAnsi="宋体" w:eastAsia="宋体" w:cs="宋体"/>
          <w:b/>
          <w:color w:val="auto"/>
          <w:sz w:val="36"/>
          <w:szCs w:val="21"/>
          <w:highlight w:val="none"/>
        </w:rPr>
      </w:pPr>
      <w:r>
        <w:rPr>
          <w:rFonts w:hint="eastAsia" w:ascii="宋体" w:hAnsi="宋体" w:eastAsia="宋体" w:cs="宋体"/>
          <w:b/>
          <w:color w:val="auto"/>
          <w:sz w:val="36"/>
          <w:szCs w:val="21"/>
          <w:highlight w:val="none"/>
        </w:rPr>
      </w:r>
      <w:r/>
    </w:p>
    <w:p>
      <w:pPr>
        <w:ind w:firstLine="1084"/>
        <w:rPr>
          <w:rFonts w:hint="eastAsia" w:ascii="宋体" w:hAnsi="宋体" w:eastAsia="宋体" w:cs="宋体"/>
          <w:b/>
          <w:color w:val="auto"/>
          <w:sz w:val="36"/>
          <w:szCs w:val="21"/>
          <w:highlight w:val="none"/>
        </w:rPr>
      </w:pPr>
      <w:r>
        <w:rPr>
          <w:rFonts w:hint="eastAsia" w:ascii="宋体" w:hAnsi="宋体" w:eastAsia="宋体" w:cs="宋体"/>
          <w:b/>
          <w:color w:val="auto"/>
          <w:sz w:val="36"/>
          <w:szCs w:val="21"/>
          <w:highlight w:val="none"/>
        </w:rPr>
      </w:r>
      <w:r/>
    </w:p>
    <w:p>
      <w:pPr>
        <w:ind w:firstLine="1084"/>
        <w:rPr>
          <w:rFonts w:hint="eastAsia" w:ascii="宋体" w:hAnsi="宋体" w:eastAsia="宋体" w:cs="宋体"/>
          <w:b/>
          <w:color w:val="auto"/>
          <w:sz w:val="36"/>
          <w:highlight w:val="none"/>
        </w:rPr>
        <w:outlineLvl w:val="0"/>
      </w:pPr>
      <w:r/>
      <w:bookmarkStart w:id="215" w:name="_Toc11842"/>
      <w:r/>
      <w:bookmarkStart w:id="216" w:name="_Toc12634"/>
      <w:r/>
      <w:bookmarkStart w:id="217" w:name="_Toc18820"/>
      <w:r>
        <w:rPr>
          <w:rFonts w:hint="eastAsia" w:ascii="宋体" w:hAnsi="宋体" w:eastAsia="宋体" w:cs="宋体"/>
          <w:b/>
          <w:color w:val="auto"/>
          <w:sz w:val="36"/>
          <w:highlight w:val="none"/>
        </w:rPr>
        <w:t xml:space="preserve">标 段 名 称：</w:t>
      </w:r>
      <w:bookmarkEnd w:id="215"/>
      <w:r/>
      <w:bookmarkEnd w:id="216"/>
      <w:r/>
      <w:bookmarkEnd w:id="217"/>
      <w:r/>
      <w:r/>
    </w:p>
    <w:p>
      <w:pPr>
        <w:ind w:firstLine="1084"/>
        <w:rPr>
          <w:rFonts w:hint="eastAsia" w:ascii="宋体" w:hAnsi="宋体" w:eastAsia="宋体" w:cs="宋体"/>
          <w:b/>
          <w:color w:val="auto"/>
          <w:sz w:val="36"/>
          <w:highlight w:val="none"/>
          <w:u w:val="single"/>
        </w:rPr>
        <w:outlineLvl w:val="0"/>
      </w:pPr>
      <w:r/>
      <w:bookmarkStart w:id="218" w:name="_Toc2962"/>
      <w:r/>
      <w:bookmarkStart w:id="219" w:name="_Toc20410"/>
      <w:r/>
      <w:bookmarkStart w:id="220" w:name="_Toc31102"/>
      <w:r>
        <w:rPr>
          <w:rFonts w:hint="eastAsia" w:ascii="宋体" w:hAnsi="宋体" w:eastAsia="宋体" w:cs="宋体"/>
          <w:b/>
          <w:color w:val="auto"/>
          <w:sz w:val="36"/>
          <w:highlight w:val="none"/>
        </w:rPr>
        <w:t xml:space="preserve">标 段 编 号：</w:t>
      </w:r>
      <w:bookmarkEnd w:id="218"/>
      <w:r/>
      <w:bookmarkEnd w:id="219"/>
      <w:r/>
      <w:bookmarkEnd w:id="220"/>
      <w:r/>
      <w:r/>
    </w:p>
    <w:p>
      <w:pPr>
        <w:ind w:firstLine="1084"/>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ind w:firstLine="1084"/>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ind w:firstLine="1084"/>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ind w:firstLine="1084"/>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ind w:firstLine="964"/>
        <w:rPr>
          <w:rFonts w:hint="eastAsia" w:ascii="宋体" w:hAnsi="宋体" w:eastAsia="宋体" w:cs="宋体"/>
          <w:b/>
          <w:color w:val="auto"/>
          <w:sz w:val="32"/>
          <w:szCs w:val="32"/>
          <w:highlight w:val="none"/>
        </w:rPr>
        <w:outlineLvl w:val="0"/>
      </w:pPr>
      <w:r/>
      <w:bookmarkStart w:id="221" w:name="_Toc12100"/>
      <w:r/>
      <w:bookmarkStart w:id="222" w:name="_Toc27874"/>
      <w:r/>
      <w:bookmarkStart w:id="223" w:name="_Toc2814"/>
      <w:r>
        <w:rPr>
          <w:rFonts w:hint="eastAsia" w:ascii="宋体" w:hAnsi="宋体" w:eastAsia="宋体" w:cs="宋体"/>
          <w:b/>
          <w:color w:val="auto"/>
          <w:sz w:val="32"/>
          <w:szCs w:val="32"/>
          <w:highlight w:val="none"/>
        </w:rPr>
        <w:t xml:space="preserve">磋商供应商名称：</w:t>
      </w:r>
      <w:bookmarkEnd w:id="221"/>
      <w:r/>
      <w:bookmarkEnd w:id="222"/>
      <w:r/>
      <w:bookmarkEnd w:id="223"/>
      <w:r/>
      <w:r/>
    </w:p>
    <w:p>
      <w:pPr>
        <w:ind w:firstLine="964"/>
        <w:rPr>
          <w:rFonts w:hint="eastAsia" w:ascii="宋体" w:hAnsi="宋体" w:eastAsia="宋体" w:cs="宋体"/>
          <w:b/>
          <w:color w:val="auto"/>
          <w:sz w:val="32"/>
          <w:szCs w:val="32"/>
          <w:highlight w:val="none"/>
        </w:rPr>
        <w:outlineLvl w:val="0"/>
      </w:pPr>
      <w:r/>
      <w:bookmarkStart w:id="224" w:name="_Toc14811"/>
      <w:r/>
      <w:bookmarkStart w:id="225" w:name="_Toc16685"/>
      <w:r/>
      <w:bookmarkStart w:id="226" w:name="_Toc4106"/>
      <w:r>
        <w:rPr>
          <w:rFonts w:hint="eastAsia" w:ascii="宋体" w:hAnsi="宋体" w:eastAsia="宋体" w:cs="宋体"/>
          <w:b/>
          <w:color w:val="auto"/>
          <w:sz w:val="32"/>
          <w:szCs w:val="32"/>
          <w:highlight w:val="none"/>
        </w:rPr>
        <w:t xml:space="preserve">磋商供应商地址：</w:t>
      </w:r>
      <w:bookmarkEnd w:id="224"/>
      <w:r/>
      <w:bookmarkEnd w:id="225"/>
      <w:r/>
      <w:bookmarkEnd w:id="226"/>
      <w:r/>
      <w:r/>
    </w:p>
    <w:p>
      <w:pPr>
        <w:ind w:firstLine="964"/>
        <w:rPr>
          <w:rFonts w:hint="eastAsia" w:ascii="宋体" w:hAnsi="宋体" w:eastAsia="宋体" w:cs="宋体"/>
          <w:b/>
          <w:color w:val="auto"/>
          <w:sz w:val="32"/>
          <w:szCs w:val="32"/>
          <w:highlight w:val="none"/>
        </w:rPr>
        <w:outlineLvl w:val="0"/>
      </w:pPr>
      <w:r/>
      <w:bookmarkStart w:id="227" w:name="_Toc20377"/>
      <w:r/>
      <w:bookmarkStart w:id="228" w:name="_Toc3122"/>
      <w:r/>
      <w:bookmarkStart w:id="229" w:name="_Toc8534"/>
      <w:r>
        <w:rPr>
          <w:rFonts w:hint="eastAsia" w:ascii="宋体" w:hAnsi="宋体" w:eastAsia="宋体" w:cs="宋体"/>
          <w:b/>
          <w:color w:val="auto"/>
          <w:sz w:val="32"/>
          <w:szCs w:val="32"/>
          <w:highlight w:val="none"/>
        </w:rPr>
        <w:t xml:space="preserve">法定代表人：</w:t>
      </w:r>
      <w:bookmarkEnd w:id="227"/>
      <w:r/>
      <w:bookmarkEnd w:id="228"/>
      <w:r/>
      <w:bookmarkEnd w:id="229"/>
      <w:r/>
      <w:r/>
    </w:p>
    <w:p>
      <w:pPr>
        <w:ind w:firstLine="964"/>
        <w:rPr>
          <w:rFonts w:hint="eastAsia" w:ascii="宋体" w:hAnsi="宋体" w:eastAsia="宋体" w:cs="宋体"/>
          <w:b/>
          <w:color w:val="auto"/>
          <w:sz w:val="32"/>
          <w:szCs w:val="32"/>
          <w:highlight w:val="none"/>
        </w:rPr>
        <w:outlineLvl w:val="0"/>
      </w:pPr>
      <w:r/>
      <w:bookmarkStart w:id="230" w:name="_Toc32348"/>
      <w:r/>
      <w:bookmarkStart w:id="231" w:name="_Toc13717"/>
      <w:r/>
      <w:bookmarkStart w:id="232" w:name="_Toc19725"/>
      <w:r>
        <w:rPr>
          <w:rFonts w:hint="eastAsia" w:ascii="宋体" w:hAnsi="宋体" w:eastAsia="宋体" w:cs="宋体"/>
          <w:b/>
          <w:color w:val="auto"/>
          <w:sz w:val="32"/>
          <w:szCs w:val="32"/>
          <w:highlight w:val="none"/>
        </w:rPr>
        <w:t xml:space="preserve">委托代理人：（委托代理时填写）</w:t>
      </w:r>
      <w:bookmarkEnd w:id="230"/>
      <w:r/>
      <w:bookmarkEnd w:id="231"/>
      <w:r/>
      <w:bookmarkEnd w:id="232"/>
      <w:r/>
      <w:r/>
    </w:p>
    <w:p>
      <w:pPr>
        <w:ind w:firstLine="964"/>
        <w:rPr>
          <w:rFonts w:hint="eastAsia" w:ascii="宋体" w:hAnsi="宋体" w:eastAsia="宋体" w:cs="宋体"/>
          <w:b/>
          <w:color w:val="auto"/>
          <w:sz w:val="32"/>
          <w:szCs w:val="32"/>
          <w:highlight w:val="none"/>
        </w:rPr>
        <w:outlineLvl w:val="0"/>
      </w:pPr>
      <w:r/>
      <w:bookmarkStart w:id="233" w:name="_Toc31683"/>
      <w:r/>
      <w:bookmarkStart w:id="234" w:name="_Toc24742"/>
      <w:r/>
      <w:bookmarkStart w:id="235" w:name="_Toc12338"/>
      <w:r>
        <w:rPr>
          <w:rFonts w:hint="eastAsia" w:ascii="宋体" w:hAnsi="宋体" w:eastAsia="宋体" w:cs="宋体"/>
          <w:b/>
          <w:color w:val="auto"/>
          <w:sz w:val="32"/>
          <w:szCs w:val="32"/>
          <w:highlight w:val="none"/>
        </w:rPr>
        <w:t xml:space="preserve">日      期：</w:t>
      </w:r>
      <w:bookmarkEnd w:id="233"/>
      <w:r/>
      <w:bookmarkEnd w:id="234"/>
      <w:r/>
      <w:bookmarkEnd w:id="235"/>
      <w:r/>
      <w:r/>
    </w:p>
    <w:p>
      <w:pPr>
        <w:pStyle w:val="957"/>
        <w:ind w:firstLine="2464"/>
        <w:rPr>
          <w:rFonts w:hint="eastAsia" w:ascii="宋体" w:hAnsi="宋体" w:eastAsia="宋体" w:cs="宋体"/>
          <w:bCs/>
          <w:color w:val="auto"/>
          <w:sz w:val="32"/>
          <w:szCs w:val="32"/>
          <w:highlight w:val="none"/>
        </w:rPr>
      </w:pPr>
      <w:r>
        <w:rPr>
          <w:rFonts w:hint="eastAsia" w:ascii="宋体" w:hAnsi="宋体" w:eastAsia="宋体" w:cs="宋体"/>
          <w:bCs/>
          <w:color w:val="auto"/>
          <w:sz w:val="32"/>
          <w:szCs w:val="32"/>
          <w:highlight w:val="none"/>
        </w:rPr>
      </w:r>
      <w:r/>
    </w:p>
    <w:p>
      <w:pPr>
        <w:pStyle w:val="957"/>
        <w:ind w:firstLine="0"/>
        <w:spacing w:before="0" w:after="0"/>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rPr>
          <w:rFonts w:hint="eastAsia" w:ascii="宋体" w:hAnsi="宋体" w:eastAsia="宋体" w:cs="宋体"/>
          <w:b/>
          <w:color w:val="auto"/>
          <w:sz w:val="32"/>
          <w:szCs w:val="32"/>
          <w:highlight w:val="none"/>
        </w:rPr>
        <w:outlineLvl w:val="0"/>
      </w:pPr>
      <w:r/>
      <w:bookmarkStart w:id="236" w:name="_Toc15296"/>
      <w:r/>
      <w:bookmarkStart w:id="237" w:name="_Toc10241"/>
      <w:r/>
      <w:bookmarkStart w:id="238" w:name="_Toc4212"/>
      <w:r>
        <w:rPr>
          <w:rFonts w:hint="eastAsia" w:ascii="宋体" w:hAnsi="宋体" w:eastAsia="宋体" w:cs="宋体"/>
          <w:b/>
          <w:color w:val="auto"/>
          <w:sz w:val="32"/>
          <w:szCs w:val="32"/>
          <w:highlight w:val="none"/>
        </w:rPr>
        <w:t xml:space="preserve">一、磋商响应函</w:t>
      </w:r>
      <w:bookmarkEnd w:id="236"/>
      <w:r/>
      <w:bookmarkEnd w:id="237"/>
      <w:r/>
      <w:bookmarkEnd w:id="238"/>
      <w:r/>
      <w:r/>
    </w:p>
    <w:p>
      <w:pPr>
        <w:pStyle w:val="968"/>
        <w:ind w:firstLine="482"/>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致：</w:t>
      </w:r>
      <w:r/>
    </w:p>
    <w:p>
      <w:pPr>
        <w:pStyle w:val="968"/>
        <w:ind w:firstLine="482"/>
        <w:spacing w:line="56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根据贵方 （标段编号： ）磋商文件，正式授权下述签字人_________ 代表我方______________参加贵方组织的采购磋商活动，按照竞争性磋商文件要求提交响应文件。</w:t>
      </w:r>
      <w:r/>
    </w:p>
    <w:p>
      <w:pPr>
        <w:pStyle w:val="762"/>
        <w:ind w:firstLine="567"/>
        <w:jc w:val="both"/>
        <w:spacing w:before="0" w:beforeAutospacing="0" w:after="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据此函，签字人兹宣布同意如下：</w:t>
      </w:r>
      <w:r/>
    </w:p>
    <w:p>
      <w:pPr>
        <w:pStyle w:val="762"/>
        <w:ind w:firstLine="567"/>
        <w:jc w:val="both"/>
        <w:spacing w:before="0" w:beforeAutospacing="0" w:after="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1、按磋商文件项目需求提交磋商报价，报价、供货期等详见开标一览表。</w:t>
      </w:r>
      <w:r/>
    </w:p>
    <w:p>
      <w:pPr>
        <w:pStyle w:val="762"/>
        <w:ind w:firstLine="567"/>
        <w:jc w:val="both"/>
        <w:spacing w:before="0" w:beforeAutospacing="0" w:after="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2、我方同意在本标段磋商文件中规定的响应文件递交截止之日起60天内遵守本响应文件中的承诺且在此期限期满之前均具有约束力。</w:t>
      </w:r>
      <w:r/>
    </w:p>
    <w:p>
      <w:pPr>
        <w:pStyle w:val="762"/>
        <w:ind w:firstLine="567"/>
        <w:jc w:val="both"/>
        <w:spacing w:before="0" w:beforeAutospacing="0" w:after="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3、我方承诺已经具备《中华人民共和国政府采购法》中规定的参加政府采购活动的供应商应当具备的条件：</w:t>
      </w:r>
      <w:r/>
    </w:p>
    <w:p>
      <w:pPr>
        <w:pStyle w:val="762"/>
        <w:ind w:firstLine="567"/>
        <w:jc w:val="both"/>
        <w:spacing w:before="0" w:beforeAutospacing="0" w:after="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（1）具有独立承担民事责任的能力；</w:t>
      </w:r>
      <w:r/>
    </w:p>
    <w:p>
      <w:pPr>
        <w:pStyle w:val="762"/>
        <w:ind w:firstLine="567"/>
        <w:jc w:val="both"/>
        <w:spacing w:before="0" w:beforeAutospacing="0" w:after="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（2）具有良好的商业信誉和健全的财务会计制度；</w:t>
      </w:r>
      <w:r/>
    </w:p>
    <w:p>
      <w:pPr>
        <w:pStyle w:val="762"/>
        <w:ind w:firstLine="567"/>
        <w:jc w:val="both"/>
        <w:spacing w:before="0" w:beforeAutospacing="0" w:after="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（3）具有履行合同所必需的设备和专业技术能力；</w:t>
      </w:r>
      <w:r/>
    </w:p>
    <w:p>
      <w:pPr>
        <w:pStyle w:val="762"/>
        <w:ind w:firstLine="567"/>
        <w:jc w:val="both"/>
        <w:spacing w:before="0" w:beforeAutospacing="0" w:after="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（4）有依法缴纳税收和社会保障资金的良好记录；</w:t>
      </w:r>
      <w:r/>
    </w:p>
    <w:p>
      <w:pPr>
        <w:pStyle w:val="762"/>
        <w:ind w:firstLine="567"/>
        <w:jc w:val="both"/>
        <w:spacing w:before="0" w:beforeAutospacing="0" w:after="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（5）参加此项采购活动前三年内，在经营活动中没有重大违法记录。</w:t>
      </w:r>
      <w:r/>
    </w:p>
    <w:p>
      <w:pPr>
        <w:pStyle w:val="762"/>
        <w:ind w:firstLine="567"/>
        <w:jc w:val="both"/>
        <w:spacing w:before="0" w:beforeAutospacing="0" w:after="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4、我方根据磋商文件的规定，承担完成合同的责任和义务。</w:t>
      </w:r>
      <w:r/>
    </w:p>
    <w:p>
      <w:pPr>
        <w:pStyle w:val="762"/>
        <w:ind w:firstLine="567"/>
        <w:jc w:val="both"/>
        <w:spacing w:before="0" w:beforeAutospacing="0" w:after="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5、我方已详细审核磋商文件，我方知道必须放弃提出含糊不清或误解问题的权利。</w:t>
      </w:r>
      <w:r/>
    </w:p>
    <w:p>
      <w:pPr>
        <w:pStyle w:val="762"/>
        <w:ind w:firstLine="567"/>
        <w:jc w:val="both"/>
        <w:spacing w:before="0" w:beforeAutospacing="0" w:after="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6、我方保证在响应文件有效期内不撤回、保证没有其他违约行为。</w:t>
      </w:r>
      <w:r/>
    </w:p>
    <w:p>
      <w:pPr>
        <w:pStyle w:val="762"/>
        <w:ind w:firstLine="567"/>
        <w:jc w:val="both"/>
        <w:spacing w:before="0" w:beforeAutospacing="0" w:after="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7、同意应贵方要求提供与本次采购活动有关的任何数据或资料。</w:t>
      </w:r>
      <w:r/>
    </w:p>
    <w:p>
      <w:pPr>
        <w:pStyle w:val="762"/>
        <w:ind w:firstLine="567"/>
        <w:jc w:val="both"/>
        <w:spacing w:before="0" w:beforeAutospacing="0" w:after="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8、我方完全理解，最低报价不是中标（成交）的唯一条件。</w:t>
      </w:r>
      <w:r/>
    </w:p>
    <w:p>
      <w:pPr>
        <w:pStyle w:val="762"/>
        <w:ind w:firstLine="567"/>
        <w:jc w:val="both"/>
        <w:spacing w:before="0" w:beforeAutospacing="0" w:after="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9、若贵方需要，我方愿意提供我方作出的一切承诺的证明材料。</w:t>
      </w:r>
      <w:r/>
    </w:p>
    <w:p>
      <w:pPr>
        <w:pStyle w:val="762"/>
        <w:ind w:firstLine="567"/>
        <w:jc w:val="both"/>
        <w:spacing w:before="0" w:beforeAutospacing="0" w:after="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10、我方将严格遵守《中华人民共和国政府采购法》第七十七条规定，供应商有下列情形之一的，处以采购金额5‰以上10‰以下的罚款，列入不良行为记录名单，在一至三年内禁止参加政府采购活动，有违法所得的，并处没收违法所得，情节严重的，由工商行政管理机关吊销营业执照；构成犯罪的，依法追究刑事责任：</w:t>
      </w:r>
      <w:r/>
    </w:p>
    <w:p>
      <w:pPr>
        <w:pStyle w:val="762"/>
        <w:ind w:firstLine="567"/>
        <w:jc w:val="both"/>
        <w:spacing w:before="0" w:beforeAutospacing="0" w:after="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（1）提供虚假材料谋取中标、成交的；</w:t>
      </w:r>
      <w:r/>
    </w:p>
    <w:p>
      <w:pPr>
        <w:pStyle w:val="762"/>
        <w:ind w:firstLine="567"/>
        <w:jc w:val="both"/>
        <w:spacing w:before="0" w:beforeAutospacing="0" w:after="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（2）采取不正当手段诋毁、排挤其他供应商的；</w:t>
      </w:r>
      <w:r/>
    </w:p>
    <w:p>
      <w:pPr>
        <w:pStyle w:val="762"/>
        <w:ind w:firstLine="567"/>
        <w:jc w:val="both"/>
        <w:spacing w:before="0" w:beforeAutospacing="0" w:after="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（3）与采购人、其他供应商或者采购代理机构恶意串通的；</w:t>
      </w:r>
      <w:r/>
    </w:p>
    <w:p>
      <w:pPr>
        <w:pStyle w:val="762"/>
        <w:ind w:firstLine="567"/>
        <w:jc w:val="both"/>
        <w:spacing w:before="0" w:beforeAutospacing="0" w:after="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（4）向采购人、采购代理机构行贿或者提供其他不正当利益的；</w:t>
      </w:r>
      <w:r/>
    </w:p>
    <w:p>
      <w:pPr>
        <w:pStyle w:val="762"/>
        <w:ind w:firstLine="567"/>
        <w:jc w:val="both"/>
        <w:spacing w:before="0" w:beforeAutospacing="0" w:after="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（5）在采购过程中与采购人进行协商谈判的；</w:t>
      </w:r>
      <w:r/>
    </w:p>
    <w:p>
      <w:pPr>
        <w:pStyle w:val="762"/>
        <w:ind w:firstLine="567"/>
        <w:jc w:val="both"/>
        <w:spacing w:before="0" w:beforeAutospacing="0" w:after="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（6）拒绝有关部门监督检查或提供虚假情况的。</w:t>
      </w:r>
      <w:r/>
    </w:p>
    <w:p>
      <w:pPr>
        <w:pStyle w:val="762"/>
        <w:ind w:firstLine="567"/>
        <w:jc w:val="both"/>
        <w:spacing w:before="0" w:beforeAutospacing="0" w:after="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62"/>
        <w:ind w:firstLine="567"/>
        <w:jc w:val="both"/>
        <w:spacing w:before="0" w:beforeAutospacing="0" w:after="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法定代表人或其委托代理人签字（或盖章）：</w:t>
      </w:r>
      <w:r/>
    </w:p>
    <w:p>
      <w:pPr>
        <w:pStyle w:val="762"/>
        <w:ind w:firstLine="567"/>
        <w:jc w:val="both"/>
        <w:spacing w:before="0" w:beforeAutospacing="0" w:after="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供应商公章：</w:t>
      </w:r>
      <w:r/>
    </w:p>
    <w:p>
      <w:pPr>
        <w:pStyle w:val="762"/>
        <w:ind w:firstLine="567"/>
        <w:jc w:val="both"/>
        <w:spacing w:before="0" w:beforeAutospacing="0" w:after="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日期：年月日</w:t>
      </w:r>
      <w:r/>
    </w:p>
    <w:p>
      <w:pPr>
        <w:pStyle w:val="762"/>
        <w:ind w:firstLine="567"/>
        <w:jc w:val="both"/>
        <w:spacing w:before="0" w:beforeAutospacing="0" w:after="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62"/>
        <w:ind w:firstLine="567"/>
        <w:jc w:val="both"/>
        <w:spacing w:before="0" w:beforeAutospacing="0" w:after="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注：未按照本响应函的格式要求填写的，将造成非实质响应，从而导致该供应商响应无效。</w:t>
      </w:r>
      <w:r/>
    </w:p>
    <w:p>
      <w:pPr>
        <w:jc w:val="left"/>
        <w:spacing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0"/>
          <w:szCs w:val="30"/>
          <w:highlight w:val="none"/>
          <w:u w:val="single"/>
        </w:rPr>
        <w:br w:type="page" w:clear="all"/>
      </w:r>
      <w:bookmarkStart w:id="239" w:name="_Toc25494"/>
      <w:r/>
      <w:bookmarkStart w:id="240" w:name="_Toc14836"/>
      <w:r/>
      <w:bookmarkStart w:id="241" w:name="_Toc20569"/>
      <w:r>
        <w:rPr>
          <w:rFonts w:hint="eastAsia" w:ascii="宋体" w:hAnsi="宋体" w:eastAsia="宋体" w:cs="宋体"/>
          <w:b/>
          <w:color w:val="auto"/>
          <w:sz w:val="32"/>
          <w:szCs w:val="32"/>
          <w:highlight w:val="none"/>
        </w:rPr>
        <w:t xml:space="preserve">二、磋商响应首次报价表</w:t>
      </w:r>
      <w:bookmarkEnd w:id="239"/>
      <w:r/>
      <w:bookmarkEnd w:id="240"/>
      <w:r/>
      <w:bookmarkEnd w:id="241"/>
      <w:r>
        <w:rPr>
          <w:rFonts w:hint="eastAsia" w:ascii="宋体" w:hAnsi="宋体" w:eastAsia="宋体" w:cs="宋体"/>
          <w:b/>
          <w:color w:val="auto"/>
          <w:sz w:val="32"/>
          <w:szCs w:val="32"/>
          <w:highlight w:val="none"/>
        </w:rPr>
        <w:t xml:space="preserve">（开标一览表）</w:t>
      </w:r>
      <w:r/>
    </w:p>
    <w:p>
      <w:pPr>
        <w:pStyle w:val="716"/>
        <w:ind w:left="420"/>
        <w:rPr>
          <w:rFonts w:hint="eastAsia" w:ascii="宋体" w:hAnsi="宋体" w:eastAsia="宋体" w:cs="宋体"/>
          <w:color w:val="auto"/>
          <w:sz w:val="15"/>
          <w:szCs w:val="15"/>
          <w:highlight w:val="none"/>
        </w:rPr>
      </w:pPr>
      <w:r>
        <w:rPr>
          <w:rFonts w:hint="eastAsia" w:ascii="宋体" w:hAnsi="宋体" w:eastAsia="宋体" w:cs="宋体"/>
          <w:color w:val="auto"/>
          <w:sz w:val="15"/>
          <w:szCs w:val="15"/>
          <w:highlight w:val="none"/>
        </w:rPr>
      </w:r>
      <w:r/>
    </w:p>
    <w:p>
      <w:pPr>
        <w:jc w:val="left"/>
        <w:spacing w:line="360" w:lineRule="auto"/>
        <w:rPr>
          <w:rFonts w:hint="eastAsia" w:ascii="宋体" w:hAnsi="宋体" w:eastAsia="宋体" w:cs="宋体"/>
          <w:bCs/>
          <w:color w:val="auto"/>
          <w:sz w:val="24"/>
          <w:highlight w:val="none"/>
        </w:rPr>
      </w:pPr>
      <w:r>
        <w:rPr>
          <w:rFonts w:hint="eastAsia" w:ascii="宋体" w:hAnsi="宋体" w:eastAsia="宋体" w:cs="宋体"/>
          <w:color w:val="auto"/>
          <w:sz w:val="24"/>
          <w:highlight w:val="none"/>
        </w:rPr>
        <w:t xml:space="preserve">标段名称：</w:t>
      </w:r>
      <w:r/>
    </w:p>
    <w:p>
      <w:pPr>
        <w:pStyle w:val="734"/>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标段编号：                                                 单位：人民币元</w:t>
      </w:r>
      <w:r/>
    </w:p>
    <w:tbl>
      <w:tblPr>
        <w:tblStyle w:val="726"/>
        <w:tblpPr w:horzAnchor="margin" w:tblpXSpec="center" w:vertAnchor="text" w:tblpY="225" w:leftFromText="180" w:topFromText="0" w:rightFromText="180" w:bottomFromText="0"/>
        <w:tblW w:w="4905"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614"/>
        <w:gridCol w:w="7159"/>
      </w:tblGrid>
      <w:tr>
        <w:trPr>
          <w:cantSplit/>
          <w:trHeight w:val="735"/>
        </w:trPr>
        <w:tc>
          <w:tcPr>
            <w:tcW w:w="1337" w:type="pct"/>
            <w:vAlign w:val="center"/>
            <w:textDirection w:val="lrTb"/>
            <w:noWrap/>
          </w:tcPr>
          <w:p>
            <w:pPr>
              <w:jc w:val="cente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 w:val="24"/>
                <w:highlight w:val="none"/>
              </w:rPr>
              <w:t xml:space="preserve">标题</w:t>
            </w:r>
            <w:r/>
          </w:p>
        </w:tc>
        <w:tc>
          <w:tcPr>
            <w:tcW w:w="3662" w:type="pct"/>
            <w:vAlign w:val="center"/>
            <w:textDirection w:val="lrTb"/>
            <w:noWrap/>
          </w:tcPr>
          <w:p>
            <w:pPr>
              <w:jc w:val="cente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 w:val="24"/>
                <w:highlight w:val="none"/>
              </w:rPr>
              <w:t xml:space="preserve">内容</w:t>
            </w:r>
            <w:r/>
          </w:p>
        </w:tc>
      </w:tr>
      <w:tr>
        <w:trPr>
          <w:cantSplit/>
          <w:trHeight w:val="1690"/>
        </w:trPr>
        <w:tc>
          <w:tcPr>
            <w:tcW w:w="1337" w:type="pct"/>
            <w:vAlign w:val="center"/>
            <w:textDirection w:val="lrTb"/>
            <w:noWrap/>
          </w:tcPr>
          <w:p>
            <w:pPr>
              <w:jc w:val="cente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 w:val="24"/>
                <w:highlight w:val="none"/>
              </w:rPr>
              <w:t xml:space="preserve">磋商总报价</w:t>
            </w:r>
            <w:r/>
          </w:p>
        </w:tc>
        <w:tc>
          <w:tcPr>
            <w:tcW w:w="3662" w:type="pct"/>
            <w:vAlign w:val="center"/>
            <w:textDirection w:val="lrTb"/>
            <w:noWrap/>
          </w:tcPr>
          <w:p>
            <w:pPr>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大写：</w:t>
            </w:r>
            <w:r/>
          </w:p>
          <w:p>
            <w:pPr>
              <w:pStyle w:val="736"/>
              <w:ind w:firstLine="0"/>
              <w:jc w:val="left"/>
              <w:spacing w:line="360" w:lineRule="auto"/>
              <w:rPr>
                <w:rFonts w:hint="eastAsia" w:ascii="宋体" w:hAnsi="宋体" w:eastAsia="宋体" w:cs="宋体"/>
                <w:color w:val="auto"/>
                <w:highlight w:val="none"/>
              </w:rPr>
            </w:pPr>
            <w:r>
              <w:rPr>
                <w:rFonts w:hint="eastAsia" w:ascii="宋体" w:hAnsi="宋体" w:eastAsia="宋体" w:cs="宋体"/>
                <w:color w:val="auto"/>
                <w:sz w:val="24"/>
                <w:szCs w:val="24"/>
                <w:highlight w:val="none"/>
              </w:rPr>
              <w:t xml:space="preserve">小写：</w:t>
            </w:r>
            <w:r/>
          </w:p>
        </w:tc>
      </w:tr>
      <w:tr>
        <w:trPr>
          <w:cantSplit/>
          <w:trHeight w:val="1690"/>
        </w:trPr>
        <w:tc>
          <w:tcPr>
            <w:tcW w:w="1337" w:type="pct"/>
            <w:vAlign w:val="center"/>
            <w:textDirection w:val="lrTb"/>
            <w:noWrap/>
          </w:tcPr>
          <w:p>
            <w:pPr>
              <w:jc w:val="cente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 w:val="24"/>
                <w:highlight w:val="none"/>
              </w:rPr>
              <w:t xml:space="preserve">供货期限</w:t>
            </w:r>
            <w:r/>
          </w:p>
        </w:tc>
        <w:tc>
          <w:tcPr>
            <w:tcW w:w="3662" w:type="pct"/>
            <w:vAlign w:val="center"/>
            <w:textDirection w:val="lrTb"/>
            <w:noWrap/>
          </w:tcPr>
          <w:p>
            <w:pP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 w:val="24"/>
                <w:highlight w:val="none"/>
              </w:rPr>
              <w:t xml:space="preserve">合同签订之日起</w:t>
            </w:r>
            <w:r>
              <w:rPr>
                <w:rFonts w:hint="eastAsia" w:ascii="宋体" w:hAnsi="宋体" w:cs="宋体"/>
                <w:bCs/>
                <w:color w:val="auto"/>
                <w:sz w:val="24"/>
                <w:highlight w:val="none"/>
                <w:u w:val="single"/>
                <w:lang w:val="en-US" w:eastAsia="zh-CN"/>
              </w:rPr>
              <w:t xml:space="preserve">       </w:t>
            </w:r>
            <w:r>
              <w:rPr>
                <w:rFonts w:hint="eastAsia" w:ascii="宋体" w:hAnsi="宋体" w:eastAsia="宋体" w:cs="宋体"/>
                <w:bCs/>
                <w:color w:val="auto"/>
                <w:sz w:val="24"/>
                <w:highlight w:val="none"/>
              </w:rPr>
              <w:t xml:space="preserve">内完成全部供货</w:t>
            </w:r>
            <w:r/>
          </w:p>
        </w:tc>
      </w:tr>
    </w:tbl>
    <w:p>
      <w:pPr>
        <w:pStyle w:val="741"/>
        <w:spacing w:line="360" w:lineRule="auto"/>
        <w:rPr>
          <w:rFonts w:hint="eastAsia" w:ascii="宋体" w:hAnsi="宋体" w:eastAsia="宋体" w:cs="宋体"/>
          <w:bCs/>
          <w:color w:val="auto"/>
          <w:sz w:val="24"/>
          <w:highlight w:val="none"/>
        </w:rPr>
      </w:pPr>
      <w:r>
        <w:rPr>
          <w:rFonts w:hint="eastAsia" w:ascii="宋体" w:hAnsi="宋体" w:eastAsia="宋体" w:cs="宋体"/>
          <w:b/>
          <w:bCs/>
          <w:color w:val="auto"/>
          <w:sz w:val="28"/>
          <w:szCs w:val="28"/>
          <w:highlight w:val="none"/>
        </w:rPr>
        <w:t xml:space="preserve">注：本项目磋商总报价=预算金额，磋商报价得分按供应商所投产品的每吨单价计算。本项目为固定单价合同。</w:t>
      </w:r>
      <w:r/>
    </w:p>
    <w:p>
      <w:pPr>
        <w:ind w:firstLine="504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磋商供应商（公章）：</w:t>
      </w:r>
      <w:r/>
    </w:p>
    <w:p>
      <w:pPr>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rPr>
        <w:t xml:space="preserve">                                          法定代表人或授权代表签字：</w:t>
      </w:r>
      <w:r/>
    </w:p>
    <w:p>
      <w:pP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                                          日期：年月日</w:t>
      </w:r>
      <w:r/>
    </w:p>
    <w:p>
      <w:pPr>
        <w:pStyle w:val="1004"/>
        <w:ind w:firstLine="0"/>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p>
      <w:pPr>
        <w:pStyle w:val="741"/>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说明：</w:t>
      </w:r>
      <w:r/>
    </w:p>
    <w:p>
      <w:pPr>
        <w:pStyle w:val="741"/>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1、该首次磋商报价表非本项目磋商中的最后报价。</w:t>
      </w:r>
      <w:r/>
    </w:p>
    <w:p>
      <w:pPr>
        <w:pStyle w:val="741"/>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2、未按照本磋商响应首次报价表（开标一览表）的格式要求填写的，将造成非实质性响应。</w:t>
      </w:r>
      <w:r/>
    </w:p>
    <w:p>
      <w:pPr>
        <w:pStyle w:val="741"/>
        <w:jc w:val="left"/>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3、磋商总报价为完成本项目全部费用，包括但不限于人工、产品生产、包装、运输、机械、仓储、质量检验、验收、售后服务、保险、税费以及可能产生的为完成本项目的一切费用。乙方应已考虑履行本项目的所有市场风险，包括但不限于人力成本的增加和原材料的价格上涨、国家宏观调控、经济环境变化等因素。甲方在上述合同价款之外不再向乙方支付其他任何费用。</w:t>
      </w:r>
      <w:r/>
    </w:p>
    <w:p>
      <w:pPr>
        <w:pStyle w:val="741"/>
        <w:jc w:val="left"/>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p>
      <w:pPr>
        <w:pStyle w:val="741"/>
        <w:jc w:val="left"/>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p>
      <w:pPr>
        <w:pStyle w:val="741"/>
        <w:jc w:val="left"/>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p>
      <w:pPr>
        <w:pStyle w:val="741"/>
        <w:jc w:val="left"/>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p>
      <w:pPr>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三、磋商响应报价明细表</w:t>
      </w:r>
      <w:r/>
    </w:p>
    <w:p>
      <w:pPr>
        <w:pStyle w:val="732"/>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标段名称： </w:t>
      </w:r>
      <w:r/>
    </w:p>
    <w:p>
      <w:pPr>
        <w:pStyle w:val="732"/>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标段编号：</w:t>
      </w:r>
      <w:r/>
    </w:p>
    <w:tbl>
      <w:tblPr>
        <w:tblStyle w:val="726"/>
        <w:tblW w:w="4992" w:type="pct"/>
        <w:tblInd w:w="0" w:type="dxa"/>
        <w:tblLayout w:type="autofit"/>
        <w:tblCellMar>
          <w:left w:w="108" w:type="dxa"/>
          <w:top w:w="0" w:type="dxa"/>
          <w:right w:w="108" w:type="dxa"/>
          <w:bottom w:w="0" w:type="dxa"/>
        </w:tblCellMar>
        <w:tblLook w:val="04A0" w:firstRow="1" w:lastRow="0" w:firstColumn="1" w:lastColumn="0" w:noHBand="0" w:noVBand="1"/>
      </w:tblPr>
      <w:tblGrid>
        <w:gridCol w:w="636"/>
        <w:gridCol w:w="1237"/>
        <w:gridCol w:w="1156"/>
        <w:gridCol w:w="973"/>
        <w:gridCol w:w="1174"/>
        <w:gridCol w:w="1266"/>
        <w:gridCol w:w="972"/>
        <w:gridCol w:w="1266"/>
        <w:gridCol w:w="1266"/>
      </w:tblGrid>
      <w:tr>
        <w:trPr>
          <w:trHeight w:val="608"/>
        </w:trPr>
        <w:tc>
          <w:tcPr>
            <w:tcBorders>
              <w:top w:val="single" w:color="auto" w:sz="4" w:space="0"/>
              <w:left w:val="single" w:color="auto" w:sz="4" w:space="0"/>
              <w:bottom w:val="single" w:color="auto" w:sz="4" w:space="0"/>
              <w:right w:val="single" w:color="auto" w:sz="4" w:space="0"/>
            </w:tcBorders>
            <w:tcW w:w="329" w:type="pct"/>
            <w:vAlign w:val="center"/>
            <w:textDirection w:val="lrTb"/>
            <w:noWrap/>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659" w:type="pct"/>
            <w:vAlign w:val="center"/>
            <w:textDirection w:val="lrTb"/>
            <w:noWrap/>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货物名称</w:t>
            </w:r>
            <w:r/>
          </w:p>
        </w:tc>
        <w:tc>
          <w:tcPr>
            <w:tcBorders>
              <w:top w:val="single" w:color="auto" w:sz="4" w:space="0"/>
              <w:left w:val="single" w:color="auto" w:sz="4" w:space="0"/>
              <w:bottom w:val="single" w:color="auto" w:sz="4" w:space="0"/>
              <w:right w:val="single" w:color="auto" w:sz="4" w:space="0"/>
            </w:tcBorders>
            <w:tcW w:w="605" w:type="pct"/>
            <w:vAlign w:val="center"/>
            <w:textDirection w:val="lrTb"/>
            <w:noWrap/>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生产厂商</w:t>
            </w:r>
            <w:r/>
          </w:p>
        </w:tc>
        <w:tc>
          <w:tcPr>
            <w:tcBorders>
              <w:top w:val="single" w:color="auto" w:sz="4" w:space="0"/>
              <w:left w:val="single" w:color="auto" w:sz="4" w:space="0"/>
              <w:bottom w:val="single" w:color="auto" w:sz="4" w:space="0"/>
              <w:right w:val="single" w:color="auto" w:sz="4" w:space="0"/>
            </w:tcBorders>
            <w:tcW w:w="513" w:type="pct"/>
            <w:vAlign w:val="center"/>
            <w:textDirection w:val="lrTb"/>
            <w:noWrap/>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品牌</w:t>
            </w:r>
            <w:r/>
          </w:p>
        </w:tc>
        <w:tc>
          <w:tcPr>
            <w:tcBorders>
              <w:top w:val="single" w:color="auto" w:sz="4" w:space="0"/>
              <w:left w:val="single" w:color="auto" w:sz="4" w:space="0"/>
              <w:bottom w:val="single" w:color="auto" w:sz="4" w:space="0"/>
              <w:right w:val="single" w:color="auto" w:sz="4" w:space="0"/>
            </w:tcBorders>
            <w:tcW w:w="614" w:type="pct"/>
            <w:vAlign w:val="center"/>
            <w:textDirection w:val="lrTb"/>
            <w:noWrap/>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包装规格</w:t>
            </w:r>
            <w:r/>
          </w:p>
        </w:tc>
        <w:tc>
          <w:tcPr>
            <w:tcBorders>
              <w:top w:val="single" w:color="auto" w:sz="4" w:space="0"/>
              <w:left w:val="single" w:color="auto" w:sz="4" w:space="0"/>
              <w:bottom w:val="single" w:color="auto" w:sz="4" w:space="0"/>
              <w:right w:val="single" w:color="auto" w:sz="4" w:space="0"/>
            </w:tcBorders>
            <w:tcW w:w="455" w:type="pct"/>
            <w:vAlign w:val="center"/>
            <w:textDirection w:val="lrTb"/>
            <w:noWrap/>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单位（吨）</w:t>
            </w:r>
            <w:r/>
          </w:p>
        </w:tc>
        <w:tc>
          <w:tcPr>
            <w:tcBorders>
              <w:top w:val="single" w:color="auto" w:sz="4" w:space="0"/>
              <w:left w:val="single" w:color="auto" w:sz="4" w:space="0"/>
              <w:bottom w:val="single" w:color="auto" w:sz="4" w:space="0"/>
              <w:right w:val="single" w:color="auto" w:sz="4" w:space="0"/>
            </w:tcBorders>
            <w:tcW w:w="509" w:type="pct"/>
            <w:vAlign w:val="center"/>
            <w:textDirection w:val="lrTb"/>
            <w:noWrap/>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数量</w:t>
            </w:r>
            <w:r/>
          </w:p>
        </w:tc>
        <w:tc>
          <w:tcPr>
            <w:tcBorders>
              <w:top w:val="single" w:color="auto" w:sz="4" w:space="0"/>
              <w:left w:val="single" w:color="auto" w:sz="4" w:space="0"/>
              <w:bottom w:val="single" w:color="auto" w:sz="4" w:space="0"/>
              <w:right w:val="single" w:color="auto" w:sz="4" w:space="0"/>
            </w:tcBorders>
            <w:tcW w:w="656" w:type="pct"/>
            <w:vAlign w:val="center"/>
            <w:textDirection w:val="lrTb"/>
            <w:noWrap/>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单价（元）</w:t>
            </w:r>
            <w:r/>
          </w:p>
        </w:tc>
        <w:tc>
          <w:tcPr>
            <w:tcBorders>
              <w:top w:val="single" w:color="auto" w:sz="4" w:space="0"/>
              <w:left w:val="single" w:color="auto" w:sz="4" w:space="0"/>
              <w:bottom w:val="single" w:color="auto" w:sz="4" w:space="0"/>
              <w:right w:val="single" w:color="auto" w:sz="4" w:space="0"/>
            </w:tcBorders>
            <w:tcW w:w="656" w:type="pct"/>
            <w:vAlign w:val="center"/>
            <w:textDirection w:val="lrTb"/>
            <w:noWrap/>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合计（元）</w:t>
            </w:r>
            <w:r/>
          </w:p>
        </w:tc>
      </w:tr>
      <w:tr>
        <w:trPr>
          <w:trHeight w:val="542"/>
        </w:trPr>
        <w:tc>
          <w:tcPr>
            <w:tcBorders>
              <w:top w:val="single" w:color="auto" w:sz="4" w:space="0"/>
              <w:left w:val="single" w:color="auto" w:sz="4" w:space="0"/>
              <w:bottom w:val="single" w:color="auto" w:sz="4" w:space="0"/>
              <w:right w:val="single" w:color="auto" w:sz="4" w:space="0"/>
            </w:tcBorders>
            <w:tcW w:w="329" w:type="pct"/>
            <w:vAlign w:val="center"/>
            <w:textDirection w:val="lrTb"/>
            <w:noWrap/>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659" w:type="pct"/>
            <w:vAlign w:val="center"/>
            <w:textDirection w:val="lrTb"/>
            <w:noWrap/>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605" w:type="pct"/>
            <w:vAlign w:val="center"/>
            <w:textDirection w:val="lrTb"/>
            <w:noWrap/>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513" w:type="pct"/>
            <w:vAlign w:val="center"/>
            <w:textDirection w:val="lrTb"/>
            <w:noWrap/>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614" w:type="pct"/>
            <w:vAlign w:val="center"/>
            <w:textDirection w:val="lrTb"/>
            <w:noWrap/>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455" w:type="pct"/>
            <w:vAlign w:val="center"/>
            <w:textDirection w:val="lrTb"/>
            <w:noWrap/>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509" w:type="pct"/>
            <w:vAlign w:val="center"/>
            <w:textDirection w:val="lrTb"/>
            <w:noWrap/>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656" w:type="pct"/>
            <w:vAlign w:val="center"/>
            <w:textDirection w:val="lrTb"/>
            <w:noWrap/>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656" w:type="pct"/>
            <w:vAlign w:val="center"/>
            <w:textDirection w:val="lrTb"/>
            <w:noWrap/>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565"/>
        </w:trPr>
        <w:tc>
          <w:tcPr>
            <w:tcBorders>
              <w:top w:val="single" w:color="auto" w:sz="4" w:space="0"/>
              <w:left w:val="single" w:color="auto" w:sz="4" w:space="0"/>
              <w:bottom w:val="single" w:color="auto" w:sz="4" w:space="0"/>
              <w:right w:val="single" w:color="auto" w:sz="4" w:space="0"/>
            </w:tcBorders>
            <w:tcW w:w="329" w:type="pct"/>
            <w:vAlign w:val="center"/>
            <w:textDirection w:val="lrTb"/>
            <w:noWrap/>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659" w:type="pct"/>
            <w:vAlign w:val="center"/>
            <w:textDirection w:val="lrTb"/>
            <w:noWrap/>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605" w:type="pct"/>
            <w:vAlign w:val="center"/>
            <w:textDirection w:val="lrTb"/>
            <w:noWrap/>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513" w:type="pct"/>
            <w:vAlign w:val="center"/>
            <w:textDirection w:val="lrTb"/>
            <w:noWrap/>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614" w:type="pct"/>
            <w:vAlign w:val="center"/>
            <w:textDirection w:val="lrTb"/>
            <w:noWrap/>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455" w:type="pct"/>
            <w:vAlign w:val="center"/>
            <w:textDirection w:val="lrTb"/>
            <w:noWrap/>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509" w:type="pct"/>
            <w:vAlign w:val="center"/>
            <w:textDirection w:val="lrTb"/>
            <w:noWrap/>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656" w:type="pct"/>
            <w:vAlign w:val="center"/>
            <w:textDirection w:val="lrTb"/>
            <w:noWrap/>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656" w:type="pct"/>
            <w:vAlign w:val="center"/>
            <w:textDirection w:val="lrTb"/>
            <w:noWrap/>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587"/>
        </w:trPr>
        <w:tc>
          <w:tcPr>
            <w:tcBorders>
              <w:top w:val="single" w:color="auto" w:sz="4" w:space="0"/>
              <w:left w:val="single" w:color="auto" w:sz="4" w:space="0"/>
              <w:bottom w:val="single" w:color="auto" w:sz="4" w:space="0"/>
              <w:right w:val="single" w:color="auto" w:sz="4" w:space="0"/>
            </w:tcBorders>
            <w:tcW w:w="329" w:type="pct"/>
            <w:vAlign w:val="center"/>
            <w:textDirection w:val="lrTb"/>
            <w:noWrap/>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w:t>
            </w:r>
            <w:r/>
          </w:p>
        </w:tc>
        <w:tc>
          <w:tcPr>
            <w:tcBorders>
              <w:top w:val="single" w:color="auto" w:sz="4" w:space="0"/>
              <w:left w:val="single" w:color="auto" w:sz="4" w:space="0"/>
              <w:bottom w:val="single" w:color="auto" w:sz="4" w:space="0"/>
              <w:right w:val="single" w:color="auto" w:sz="4" w:space="0"/>
            </w:tcBorders>
            <w:tcW w:w="659" w:type="pct"/>
            <w:vAlign w:val="center"/>
            <w:textDirection w:val="lrTb"/>
            <w:noWrap/>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605" w:type="pct"/>
            <w:vAlign w:val="center"/>
            <w:textDirection w:val="lrTb"/>
            <w:noWrap/>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513" w:type="pct"/>
            <w:vAlign w:val="center"/>
            <w:textDirection w:val="lrTb"/>
            <w:noWrap/>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614" w:type="pct"/>
            <w:vAlign w:val="center"/>
            <w:textDirection w:val="lrTb"/>
            <w:noWrap/>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455" w:type="pct"/>
            <w:vAlign w:val="center"/>
            <w:textDirection w:val="lrTb"/>
            <w:noWrap/>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509" w:type="pct"/>
            <w:vAlign w:val="center"/>
            <w:textDirection w:val="lrTb"/>
            <w:noWrap/>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656" w:type="pct"/>
            <w:vAlign w:val="center"/>
            <w:textDirection w:val="lrTb"/>
            <w:noWrap/>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656" w:type="pct"/>
            <w:vAlign w:val="center"/>
            <w:textDirection w:val="lrTb"/>
            <w:noWrap/>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587"/>
        </w:trPr>
        <w:tc>
          <w:tcPr>
            <w:tcBorders>
              <w:top w:val="single" w:color="auto" w:sz="4" w:space="0"/>
              <w:left w:val="single" w:color="auto" w:sz="4" w:space="0"/>
              <w:bottom w:val="single" w:color="auto" w:sz="4" w:space="0"/>
              <w:right w:val="single" w:color="auto" w:sz="4" w:space="0"/>
            </w:tcBorders>
            <w:tcW w:w="329" w:type="pct"/>
            <w:vAlign w:val="center"/>
            <w:textDirection w:val="lrTb"/>
            <w:noWrap/>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w:t>
            </w:r>
            <w:r/>
          </w:p>
        </w:tc>
        <w:tc>
          <w:tcPr>
            <w:tcBorders>
              <w:top w:val="single" w:color="auto" w:sz="4" w:space="0"/>
              <w:left w:val="single" w:color="auto" w:sz="4" w:space="0"/>
              <w:bottom w:val="single" w:color="auto" w:sz="4" w:space="0"/>
              <w:right w:val="single" w:color="auto" w:sz="4" w:space="0"/>
            </w:tcBorders>
            <w:tcW w:w="659" w:type="pct"/>
            <w:vAlign w:val="center"/>
            <w:textDirection w:val="lrTb"/>
            <w:noWrap/>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605" w:type="pct"/>
            <w:vAlign w:val="center"/>
            <w:textDirection w:val="lrTb"/>
            <w:noWrap/>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513" w:type="pct"/>
            <w:vAlign w:val="center"/>
            <w:textDirection w:val="lrTb"/>
            <w:noWrap/>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614" w:type="pct"/>
            <w:vAlign w:val="center"/>
            <w:textDirection w:val="lrTb"/>
            <w:noWrap/>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455" w:type="pct"/>
            <w:vAlign w:val="center"/>
            <w:textDirection w:val="lrTb"/>
            <w:noWrap/>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509" w:type="pct"/>
            <w:vAlign w:val="center"/>
            <w:textDirection w:val="lrTb"/>
            <w:noWrap/>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656" w:type="pct"/>
            <w:vAlign w:val="center"/>
            <w:textDirection w:val="lrTb"/>
            <w:noWrap/>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656" w:type="pct"/>
            <w:vAlign w:val="center"/>
            <w:textDirection w:val="lrTb"/>
            <w:noWrap/>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552"/>
        </w:trPr>
        <w:tc>
          <w:tcPr>
            <w:gridSpan w:val="7"/>
            <w:tcBorders>
              <w:top w:val="single" w:color="auto" w:sz="4" w:space="0"/>
              <w:left w:val="single" w:color="auto" w:sz="4" w:space="0"/>
              <w:bottom w:val="single" w:color="auto" w:sz="4" w:space="0"/>
              <w:right w:val="single" w:color="auto" w:sz="4" w:space="0"/>
            </w:tcBorders>
            <w:tcW w:w="3687" w:type="pct"/>
            <w:vAlign w:val="center"/>
            <w:textDirection w:val="lrTb"/>
            <w:noWrap/>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总计：（人民币大写）元</w:t>
            </w:r>
            <w:r/>
          </w:p>
        </w:tc>
        <w:tc>
          <w:tcPr>
            <w:tcBorders>
              <w:top w:val="single" w:color="auto" w:sz="4" w:space="0"/>
              <w:left w:val="single" w:color="auto" w:sz="4" w:space="0"/>
              <w:bottom w:val="single" w:color="auto" w:sz="4" w:space="0"/>
              <w:right w:val="single" w:color="auto" w:sz="4" w:space="0"/>
            </w:tcBorders>
            <w:tcW w:w="656" w:type="pct"/>
            <w:vAlign w:val="center"/>
            <w:textDirection w:val="lrTb"/>
            <w:noWrap/>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656" w:type="pct"/>
            <w:vAlign w:val="center"/>
            <w:textDirection w:val="lrTb"/>
            <w:noWrap/>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bl>
    <w:p>
      <w:pPr>
        <w:pStyle w:val="732"/>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504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504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磋商供应商（公章）：</w:t>
      </w:r>
      <w:r/>
    </w:p>
    <w:p>
      <w:pPr>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rPr>
        <w:t xml:space="preserve">                                          法定代表人或授权代表签字：</w:t>
      </w:r>
      <w:r/>
    </w:p>
    <w:p>
      <w:pP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                                          日期：年月日</w:t>
      </w:r>
      <w:r/>
    </w:p>
    <w:p>
      <w:pPr>
        <w:pStyle w:val="1001"/>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pStyle w:val="741"/>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说明：</w:t>
      </w:r>
      <w:r/>
    </w:p>
    <w:p>
      <w:pPr>
        <w:pStyle w:val="732"/>
        <w:ind w:firstLine="422"/>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1、该表报价非本次磋商中的最后报价。</w:t>
      </w:r>
      <w:r/>
    </w:p>
    <w:p>
      <w:pPr>
        <w:ind w:firstLine="422"/>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2、本项目最终结算价按照磋商首次报价与最后报价同比例变动 </w:t>
      </w:r>
      <w:r/>
    </w:p>
    <w:p>
      <w:pPr>
        <w:pStyle w:val="1001"/>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pStyle w:val="732"/>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732"/>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732"/>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732"/>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732"/>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rPr>
          <w:rFonts w:hint="eastAsia" w:ascii="宋体" w:hAnsi="宋体" w:eastAsia="宋体" w:cs="宋体"/>
          <w:b/>
          <w:color w:val="auto"/>
          <w:sz w:val="32"/>
          <w:szCs w:val="32"/>
          <w:highlight w:val="none"/>
        </w:rPr>
        <w:outlineLvl w:val="0"/>
      </w:pPr>
      <w:r/>
      <w:bookmarkStart w:id="242" w:name="_Toc26401"/>
      <w:r/>
      <w:bookmarkStart w:id="243" w:name="_Toc14505"/>
      <w:r/>
      <w:r/>
    </w:p>
    <w:p>
      <w:pPr>
        <w:jc w:val="center"/>
        <w:rPr>
          <w:rFonts w:hint="eastAsia" w:ascii="宋体" w:hAnsi="宋体" w:eastAsia="宋体" w:cs="宋体"/>
          <w:b/>
          <w:color w:val="auto"/>
          <w:sz w:val="32"/>
          <w:szCs w:val="32"/>
          <w:highlight w:val="none"/>
        </w:rPr>
        <w:outlineLvl w:val="0"/>
      </w:pPr>
      <w:r>
        <w:rPr>
          <w:rFonts w:hint="eastAsia" w:ascii="宋体" w:hAnsi="宋体" w:eastAsia="宋体" w:cs="宋体"/>
          <w:b/>
          <w:color w:val="auto"/>
          <w:sz w:val="32"/>
          <w:szCs w:val="32"/>
          <w:highlight w:val="none"/>
        </w:rPr>
      </w:r>
      <w:r/>
    </w:p>
    <w:p>
      <w:pPr>
        <w:jc w:val="center"/>
        <w:rPr>
          <w:rFonts w:hint="eastAsia" w:ascii="宋体" w:hAnsi="宋体" w:eastAsia="宋体" w:cs="宋体"/>
          <w:b/>
          <w:color w:val="auto"/>
          <w:sz w:val="32"/>
          <w:szCs w:val="32"/>
          <w:highlight w:val="none"/>
        </w:rPr>
        <w:outlineLvl w:val="0"/>
      </w:pPr>
      <w:r>
        <w:rPr>
          <w:rFonts w:hint="eastAsia" w:ascii="宋体" w:hAnsi="宋体" w:eastAsia="宋体" w:cs="宋体"/>
          <w:b/>
          <w:color w:val="auto"/>
          <w:sz w:val="32"/>
          <w:szCs w:val="32"/>
          <w:highlight w:val="none"/>
        </w:rPr>
      </w:r>
      <w:r/>
    </w:p>
    <w:p>
      <w:pPr>
        <w:jc w:val="center"/>
        <w:rPr>
          <w:rFonts w:hint="eastAsia" w:ascii="宋体" w:hAnsi="宋体" w:eastAsia="宋体" w:cs="宋体"/>
          <w:b/>
          <w:color w:val="auto"/>
          <w:sz w:val="32"/>
          <w:szCs w:val="32"/>
          <w:highlight w:val="none"/>
        </w:rPr>
        <w:outlineLvl w:val="0"/>
      </w:pPr>
      <w:r>
        <w:rPr>
          <w:rFonts w:hint="eastAsia" w:ascii="宋体" w:hAnsi="宋体" w:eastAsia="宋体" w:cs="宋体"/>
          <w:b/>
          <w:color w:val="auto"/>
          <w:sz w:val="32"/>
          <w:szCs w:val="32"/>
          <w:highlight w:val="none"/>
        </w:rPr>
      </w:r>
      <w:r/>
    </w:p>
    <w:p>
      <w:pPr>
        <w:jc w:val="center"/>
        <w:rPr>
          <w:rFonts w:hint="eastAsia" w:ascii="宋体" w:hAnsi="宋体" w:eastAsia="宋体" w:cs="宋体"/>
          <w:b/>
          <w:color w:val="auto"/>
          <w:sz w:val="32"/>
          <w:szCs w:val="32"/>
          <w:highlight w:val="none"/>
        </w:rPr>
        <w:outlineLvl w:val="0"/>
      </w:pPr>
      <w:r>
        <w:rPr>
          <w:rFonts w:hint="eastAsia" w:ascii="宋体" w:hAnsi="宋体" w:eastAsia="宋体" w:cs="宋体"/>
          <w:b/>
          <w:color w:val="auto"/>
          <w:sz w:val="32"/>
          <w:szCs w:val="32"/>
          <w:highlight w:val="none"/>
        </w:rPr>
      </w:r>
      <w:r/>
    </w:p>
    <w:p>
      <w:pPr>
        <w:jc w:val="center"/>
        <w:rPr>
          <w:rFonts w:hint="eastAsia" w:ascii="宋体" w:hAnsi="宋体" w:eastAsia="宋体" w:cs="宋体"/>
          <w:b/>
          <w:color w:val="auto"/>
          <w:sz w:val="32"/>
          <w:szCs w:val="32"/>
          <w:highlight w:val="none"/>
        </w:rPr>
        <w:outlineLvl w:val="0"/>
      </w:pPr>
      <w:r>
        <w:rPr>
          <w:rFonts w:hint="eastAsia" w:ascii="宋体" w:hAnsi="宋体" w:eastAsia="宋体" w:cs="宋体"/>
          <w:b/>
          <w:color w:val="auto"/>
          <w:sz w:val="32"/>
          <w:szCs w:val="32"/>
          <w:highlight w:val="none"/>
        </w:rPr>
      </w:r>
      <w:r/>
    </w:p>
    <w:p>
      <w:pPr>
        <w:jc w:val="center"/>
        <w:rPr>
          <w:rFonts w:hint="eastAsia" w:ascii="宋体" w:hAnsi="宋体" w:eastAsia="宋体" w:cs="宋体"/>
          <w:b/>
          <w:color w:val="auto"/>
          <w:sz w:val="32"/>
          <w:szCs w:val="32"/>
          <w:highlight w:val="none"/>
        </w:rPr>
        <w:outlineLvl w:val="0"/>
      </w:pPr>
      <w:r>
        <w:rPr>
          <w:rFonts w:hint="eastAsia" w:ascii="宋体" w:hAnsi="宋体" w:eastAsia="宋体" w:cs="宋体"/>
          <w:b/>
          <w:color w:val="auto"/>
          <w:sz w:val="32"/>
          <w:szCs w:val="32"/>
          <w:highlight w:val="none"/>
        </w:rPr>
        <w:t xml:space="preserve">四、中小企业声明函</w:t>
      </w:r>
      <w:r/>
    </w:p>
    <w:p>
      <w:pPr>
        <w:pStyle w:val="716"/>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本公司郑重声明，根据《政府采购促进中小企业发展管理办法》（财库﹝2020﹞46号）的规定，本公司参加</w:t>
      </w:r>
      <w:r>
        <w:rPr>
          <w:rFonts w:hint="eastAsia" w:ascii="宋体" w:hAnsi="宋体" w:eastAsia="宋体" w:cs="宋体"/>
          <w:color w:val="auto"/>
          <w:sz w:val="24"/>
          <w:highlight w:val="none"/>
          <w:u w:val="single"/>
        </w:rPr>
        <w:t xml:space="preserve">（单位名称）</w:t>
      </w:r>
      <w:r>
        <w:rPr>
          <w:rFonts w:hint="eastAsia" w:ascii="宋体" w:hAnsi="宋体" w:eastAsia="宋体" w:cs="宋体"/>
          <w:color w:val="auto"/>
          <w:sz w:val="24"/>
          <w:highlight w:val="none"/>
        </w:rPr>
        <w:t xml:space="preserve">的</w:t>
      </w:r>
      <w:r>
        <w:rPr>
          <w:rFonts w:hint="eastAsia" w:ascii="宋体" w:hAnsi="宋体" w:eastAsia="宋体" w:cs="宋体"/>
          <w:color w:val="auto"/>
          <w:sz w:val="24"/>
          <w:highlight w:val="none"/>
          <w:u w:val="single"/>
        </w:rPr>
        <w:t xml:space="preserve">（标段名称）</w:t>
      </w:r>
      <w:r>
        <w:rPr>
          <w:rFonts w:hint="eastAsia" w:ascii="宋体" w:hAnsi="宋体" w:eastAsia="宋体" w:cs="宋体"/>
          <w:color w:val="auto"/>
          <w:sz w:val="24"/>
          <w:highlight w:val="none"/>
        </w:rPr>
        <w:t xml:space="preserve">采购活动，提供的货物全部由符合政策要求的中小企业制造。相关企业的具体情况如下：</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 </w:t>
      </w:r>
      <w:r>
        <w:rPr>
          <w:rFonts w:hint="eastAsia" w:ascii="宋体" w:hAnsi="宋体" w:eastAsia="宋体" w:cs="宋体"/>
          <w:color w:val="auto"/>
          <w:sz w:val="24"/>
          <w:highlight w:val="none"/>
          <w:u w:val="single"/>
        </w:rPr>
        <w:t xml:space="preserve">（货物名称） </w:t>
      </w:r>
      <w:r>
        <w:rPr>
          <w:rFonts w:hint="eastAsia" w:ascii="宋体" w:hAnsi="宋体" w:eastAsia="宋体" w:cs="宋体"/>
          <w:color w:val="auto"/>
          <w:sz w:val="24"/>
          <w:highlight w:val="none"/>
        </w:rPr>
        <w:t xml:space="preserve">，属于</w:t>
      </w:r>
      <w:r>
        <w:rPr>
          <w:rFonts w:hint="eastAsia" w:ascii="宋体" w:hAnsi="宋体" w:eastAsia="宋体" w:cs="宋体"/>
          <w:color w:val="auto"/>
          <w:sz w:val="24"/>
          <w:highlight w:val="none"/>
          <w:u w:val="single"/>
        </w:rPr>
        <w:t xml:space="preserve">（磋商文件中明确的所属行业） </w:t>
      </w:r>
      <w:r>
        <w:rPr>
          <w:rFonts w:hint="eastAsia" w:ascii="宋体" w:hAnsi="宋体" w:eastAsia="宋体" w:cs="宋体"/>
          <w:color w:val="auto"/>
          <w:sz w:val="24"/>
          <w:highlight w:val="none"/>
        </w:rPr>
        <w:t xml:space="preserve">行业；制造商为</w:t>
      </w:r>
      <w:r>
        <w:rPr>
          <w:rFonts w:hint="eastAsia" w:ascii="宋体" w:hAnsi="宋体" w:eastAsia="宋体" w:cs="宋体"/>
          <w:color w:val="auto"/>
          <w:sz w:val="24"/>
          <w:highlight w:val="none"/>
          <w:u w:val="single"/>
        </w:rPr>
        <w:t xml:space="preserve">（企业名称）</w:t>
      </w:r>
      <w:r>
        <w:rPr>
          <w:rFonts w:hint="eastAsia" w:ascii="宋体" w:hAnsi="宋体" w:eastAsia="宋体" w:cs="宋体"/>
          <w:color w:val="auto"/>
          <w:sz w:val="24"/>
          <w:highlight w:val="none"/>
        </w:rPr>
        <w:t xml:space="preserve">，从业人员人，营业收入为万元，资产总额为万元，属于</w:t>
      </w:r>
      <w:r>
        <w:rPr>
          <w:rFonts w:hint="eastAsia" w:ascii="宋体" w:hAnsi="宋体" w:eastAsia="宋体" w:cs="宋体"/>
          <w:color w:val="auto"/>
          <w:sz w:val="24"/>
          <w:highlight w:val="none"/>
          <w:u w:val="single"/>
        </w:rPr>
        <w:t xml:space="preserve">（中型企业、小型企业、微型企业）</w:t>
      </w:r>
      <w:r>
        <w:rPr>
          <w:rFonts w:hint="eastAsia" w:ascii="宋体" w:hAnsi="宋体" w:eastAsia="宋体" w:cs="宋体"/>
          <w:color w:val="auto"/>
          <w:sz w:val="24"/>
          <w:highlight w:val="none"/>
        </w:rPr>
        <w:t xml:space="preserve">； </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 </w:t>
      </w:r>
      <w:r>
        <w:rPr>
          <w:rFonts w:hint="eastAsia" w:ascii="宋体" w:hAnsi="宋体" w:eastAsia="宋体" w:cs="宋体"/>
          <w:color w:val="auto"/>
          <w:sz w:val="24"/>
          <w:highlight w:val="none"/>
          <w:u w:val="single"/>
        </w:rPr>
        <w:t xml:space="preserve">（货物名称） </w:t>
      </w:r>
      <w:r>
        <w:rPr>
          <w:rFonts w:hint="eastAsia" w:ascii="宋体" w:hAnsi="宋体" w:eastAsia="宋体" w:cs="宋体"/>
          <w:color w:val="auto"/>
          <w:sz w:val="24"/>
          <w:highlight w:val="none"/>
        </w:rPr>
        <w:t xml:space="preserve">，属于</w:t>
      </w:r>
      <w:r>
        <w:rPr>
          <w:rFonts w:hint="eastAsia" w:ascii="宋体" w:hAnsi="宋体" w:eastAsia="宋体" w:cs="宋体"/>
          <w:color w:val="auto"/>
          <w:sz w:val="24"/>
          <w:highlight w:val="none"/>
          <w:u w:val="single"/>
        </w:rPr>
        <w:t xml:space="preserve">（磋商文件中明确的所属行业） </w:t>
      </w:r>
      <w:r>
        <w:rPr>
          <w:rFonts w:hint="eastAsia" w:ascii="宋体" w:hAnsi="宋体" w:eastAsia="宋体" w:cs="宋体"/>
          <w:color w:val="auto"/>
          <w:sz w:val="24"/>
          <w:highlight w:val="none"/>
        </w:rPr>
        <w:t xml:space="preserve">行业；制造商为</w:t>
      </w:r>
      <w:r>
        <w:rPr>
          <w:rFonts w:hint="eastAsia" w:ascii="宋体" w:hAnsi="宋体" w:eastAsia="宋体" w:cs="宋体"/>
          <w:color w:val="auto"/>
          <w:sz w:val="24"/>
          <w:highlight w:val="none"/>
          <w:u w:val="single"/>
        </w:rPr>
        <w:t xml:space="preserve">（企业名称）</w:t>
      </w:r>
      <w:r>
        <w:rPr>
          <w:rFonts w:hint="eastAsia" w:ascii="宋体" w:hAnsi="宋体" w:eastAsia="宋体" w:cs="宋体"/>
          <w:color w:val="auto"/>
          <w:sz w:val="24"/>
          <w:highlight w:val="none"/>
        </w:rPr>
        <w:t xml:space="preserve">，从业人员人，营业收入为万元，资产总额为万元，属于</w:t>
      </w:r>
      <w:r>
        <w:rPr>
          <w:rFonts w:hint="eastAsia" w:ascii="宋体" w:hAnsi="宋体" w:eastAsia="宋体" w:cs="宋体"/>
          <w:color w:val="auto"/>
          <w:sz w:val="24"/>
          <w:highlight w:val="none"/>
          <w:u w:val="single"/>
        </w:rPr>
        <w:t xml:space="preserve">（中型企业、小型企业、微型企业）</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以上企业，不属于大企业的分支机构，不存在控股股东为大企业的情形，也不存在与大企业的负责人为同一人的情形。 </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本企业对上述声明内容的真实性负责。如有虚假，将依法承担相应责任。 </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right="480" w:firstLine="49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right="480" w:firstLine="49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企业名称（盖章）：</w:t>
      </w:r>
      <w:r/>
    </w:p>
    <w:p>
      <w:pPr>
        <w:ind w:right="480" w:firstLine="49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日 期：年月日</w:t>
      </w:r>
      <w:r/>
    </w:p>
    <w:p>
      <w:pPr>
        <w:ind w:right="480"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ind w:right="480"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ind w:right="480"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ind w:right="480" w:firstLine="422"/>
        <w:jc w:val="left"/>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填报说明：</w:t>
      </w:r>
      <w:r/>
    </w:p>
    <w:p>
      <w:pPr>
        <w:ind w:firstLine="422"/>
        <w:jc w:val="left"/>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1、从业人员、营业收入、资产总额填报上一年度数据，无上一年度数据的新成立企业可不填报。</w:t>
      </w:r>
      <w:r/>
    </w:p>
    <w:p>
      <w:pPr>
        <w:ind w:firstLine="422"/>
        <w:jc w:val="left"/>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2、请供应商如实填写，所填内容将作为评审的依据。其内容填写须与报价明细表一致，如填写不完整或不一致，将不享受扶持政策。</w:t>
      </w:r>
      <w:r/>
    </w:p>
    <w:p>
      <w:pPr>
        <w:ind w:firstLine="422"/>
        <w:jc w:val="left"/>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3、成交供应商的《中小企业声明函》随成交结果公开。</w:t>
      </w:r>
      <w:r/>
    </w:p>
    <w:p>
      <w:pPr>
        <w:pStyle w:val="735"/>
        <w:ind w:firstLine="280"/>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6776"/>
        <w:spacing w:line="360" w:lineRule="auto"/>
        <w:rPr>
          <w:rFonts w:hint="eastAsia" w:ascii="宋体" w:hAnsi="宋体" w:eastAsia="宋体" w:cs="宋体"/>
          <w:b/>
          <w:color w:val="auto"/>
          <w:sz w:val="30"/>
          <w:szCs w:val="30"/>
          <w:highlight w:val="none"/>
          <w:u w:val="single"/>
        </w:rPr>
      </w:pPr>
      <w:r>
        <w:rPr>
          <w:rFonts w:hint="eastAsia" w:ascii="宋体" w:hAnsi="宋体" w:eastAsia="宋体" w:cs="宋体"/>
          <w:b/>
          <w:color w:val="auto"/>
          <w:sz w:val="30"/>
          <w:szCs w:val="30"/>
          <w:highlight w:val="none"/>
          <w:u w:val="single"/>
        </w:rPr>
      </w:r>
      <w:r/>
    </w:p>
    <w:p>
      <w:pPr>
        <w:pStyle w:val="1001"/>
        <w:rPr>
          <w:rFonts w:hint="eastAsia" w:ascii="宋体" w:hAnsi="宋体" w:eastAsia="宋体" w:cs="宋体"/>
          <w:color w:val="auto"/>
          <w:highlight w:val="none"/>
        </w:rPr>
      </w:pPr>
      <w:r>
        <w:rPr>
          <w:rFonts w:hint="eastAsia" w:ascii="宋体" w:hAnsi="宋体" w:eastAsia="宋体" w:cs="宋体"/>
          <w:color w:val="auto"/>
          <w:highlight w:val="none"/>
        </w:rPr>
      </w:r>
      <w:r/>
    </w:p>
    <w:p>
      <w:pPr>
        <w:pStyle w:val="732"/>
        <w:rPr>
          <w:rFonts w:hint="eastAsia" w:ascii="宋体" w:hAnsi="宋体" w:eastAsia="宋体" w:cs="宋体"/>
          <w:b/>
          <w:color w:val="auto"/>
          <w:sz w:val="30"/>
          <w:szCs w:val="30"/>
          <w:highlight w:val="none"/>
          <w:u w:val="single"/>
        </w:rPr>
      </w:pPr>
      <w:r>
        <w:rPr>
          <w:rFonts w:hint="eastAsia" w:ascii="宋体" w:hAnsi="宋体" w:eastAsia="宋体" w:cs="宋体"/>
          <w:b/>
          <w:color w:val="auto"/>
          <w:sz w:val="30"/>
          <w:szCs w:val="30"/>
          <w:highlight w:val="none"/>
          <w:u w:val="single"/>
        </w:rPr>
      </w:r>
      <w:r/>
    </w:p>
    <w:p>
      <w:pPr>
        <w:ind w:firstLine="643"/>
        <w:jc w:val="center"/>
        <w:spacing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ind w:firstLine="643"/>
        <w:jc w:val="center"/>
        <w:spacing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ind w:firstLine="643"/>
        <w:jc w:val="center"/>
        <w:spacing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残疾人福利性单位声明函</w:t>
      </w:r>
      <w:r/>
    </w:p>
    <w:p>
      <w:pPr>
        <w:jc w:val="center"/>
        <w:spacing w:line="360" w:lineRule="auto"/>
        <w:rPr>
          <w:rFonts w:hint="eastAsia" w:ascii="宋体" w:hAnsi="宋体" w:eastAsia="宋体" w:cs="宋体"/>
          <w:bCs/>
          <w:color w:val="auto"/>
          <w:sz w:val="36"/>
          <w:szCs w:val="28"/>
          <w:highlight w:val="none"/>
        </w:rPr>
      </w:pPr>
      <w:r>
        <w:rPr>
          <w:rFonts w:hint="eastAsia" w:ascii="宋体" w:hAnsi="宋体" w:eastAsia="宋体" w:cs="宋体"/>
          <w:bCs/>
          <w:color w:val="auto"/>
          <w:sz w:val="36"/>
          <w:szCs w:val="28"/>
          <w:highlight w:val="none"/>
        </w:rPr>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或者提供其他残疾人福利性单位制造的货物（不包括使用非残疾人福利性单位注册商标的货物）。相关企业的具体情况如下：</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 </w:t>
      </w:r>
      <w:r>
        <w:rPr>
          <w:rFonts w:hint="eastAsia" w:ascii="宋体" w:hAnsi="宋体" w:eastAsia="宋体" w:cs="宋体"/>
          <w:color w:val="auto"/>
          <w:sz w:val="24"/>
          <w:highlight w:val="none"/>
          <w:u w:val="single"/>
        </w:rPr>
        <w:t xml:space="preserve">（货物名称）</w:t>
      </w:r>
      <w:r>
        <w:rPr>
          <w:rFonts w:hint="eastAsia" w:ascii="宋体" w:hAnsi="宋体" w:eastAsia="宋体" w:cs="宋体"/>
          <w:color w:val="auto"/>
          <w:sz w:val="24"/>
          <w:highlight w:val="none"/>
        </w:rPr>
        <w:t xml:space="preserve"> ，制造商为</w:t>
      </w:r>
      <w:r>
        <w:rPr>
          <w:rFonts w:hint="eastAsia" w:ascii="宋体" w:hAnsi="宋体" w:eastAsia="宋体" w:cs="宋体"/>
          <w:color w:val="auto"/>
          <w:sz w:val="24"/>
          <w:highlight w:val="none"/>
          <w:u w:val="single"/>
        </w:rPr>
        <w:t xml:space="preserve">　（企业名称）　</w:t>
      </w:r>
      <w:r>
        <w:rPr>
          <w:rFonts w:hint="eastAsia" w:ascii="宋体" w:hAnsi="宋体" w:eastAsia="宋体" w:cs="宋体"/>
          <w:color w:val="auto"/>
          <w:sz w:val="24"/>
          <w:highlight w:val="none"/>
        </w:rPr>
        <w:t xml:space="preserve">，属于残疾人福利性单位； </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 </w:t>
      </w:r>
      <w:r>
        <w:rPr>
          <w:rFonts w:hint="eastAsia" w:ascii="宋体" w:hAnsi="宋体" w:eastAsia="宋体" w:cs="宋体"/>
          <w:color w:val="auto"/>
          <w:sz w:val="24"/>
          <w:highlight w:val="none"/>
          <w:u w:val="single"/>
        </w:rPr>
        <w:t xml:space="preserve">（货物名称）</w:t>
      </w:r>
      <w:r>
        <w:rPr>
          <w:rFonts w:hint="eastAsia" w:ascii="宋体" w:hAnsi="宋体" w:eastAsia="宋体" w:cs="宋体"/>
          <w:color w:val="auto"/>
          <w:sz w:val="24"/>
          <w:highlight w:val="none"/>
        </w:rPr>
        <w:t xml:space="preserve"> ，制造商为</w:t>
      </w:r>
      <w:r>
        <w:rPr>
          <w:rFonts w:hint="eastAsia" w:ascii="宋体" w:hAnsi="宋体" w:eastAsia="宋体" w:cs="宋体"/>
          <w:color w:val="auto"/>
          <w:sz w:val="24"/>
          <w:highlight w:val="none"/>
          <w:u w:val="single"/>
        </w:rPr>
        <w:t xml:space="preserve">　（企业名称）　</w:t>
      </w:r>
      <w:r>
        <w:rPr>
          <w:rFonts w:hint="eastAsia" w:ascii="宋体" w:hAnsi="宋体" w:eastAsia="宋体" w:cs="宋体"/>
          <w:color w:val="auto"/>
          <w:sz w:val="24"/>
          <w:highlight w:val="none"/>
        </w:rPr>
        <w:t xml:space="preserve">，属于残疾人福利性单位；</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本企业对上述声明内容的真实性负责。如有虚假，将依法承担相应责任。</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　　　　　　　　　　　　　　　　　　企业名称（盖章）：</w:t>
      </w:r>
      <w:r/>
    </w:p>
    <w:p>
      <w:pPr>
        <w:ind w:firstLine="480"/>
        <w:spacing w:line="360" w:lineRule="auto"/>
        <w:rPr>
          <w:rFonts w:hint="eastAsia" w:ascii="宋体" w:hAnsi="宋体" w:eastAsia="宋体" w:cs="宋体"/>
          <w:b/>
          <w:color w:val="auto"/>
          <w:sz w:val="22"/>
          <w:szCs w:val="21"/>
          <w:highlight w:val="none"/>
        </w:rPr>
      </w:pPr>
      <w:r>
        <w:rPr>
          <w:rFonts w:hint="eastAsia" w:ascii="宋体" w:hAnsi="宋体" w:eastAsia="宋体" w:cs="宋体"/>
          <w:color w:val="auto"/>
          <w:sz w:val="24"/>
          <w:highlight w:val="none"/>
        </w:rPr>
        <w:t xml:space="preserve">　　　　　　　　　　　　　　　　　　日期：年月日</w:t>
      </w:r>
      <w:r/>
    </w:p>
    <w:p>
      <w:pPr>
        <w:ind w:firstLine="442"/>
        <w:spacing w:line="360" w:lineRule="auto"/>
        <w:rPr>
          <w:rFonts w:hint="eastAsia" w:ascii="宋体" w:hAnsi="宋体" w:eastAsia="宋体" w:cs="宋体"/>
          <w:b/>
          <w:color w:val="auto"/>
          <w:sz w:val="22"/>
          <w:szCs w:val="21"/>
          <w:highlight w:val="none"/>
        </w:rPr>
      </w:pPr>
      <w:r>
        <w:rPr>
          <w:rFonts w:hint="eastAsia" w:ascii="宋体" w:hAnsi="宋体" w:eastAsia="宋体" w:cs="宋体"/>
          <w:b/>
          <w:color w:val="auto"/>
          <w:sz w:val="22"/>
          <w:szCs w:val="21"/>
          <w:highlight w:val="none"/>
        </w:rPr>
      </w:r>
      <w:r/>
    </w:p>
    <w:p>
      <w:pPr>
        <w:ind w:firstLine="442"/>
        <w:spacing w:line="360" w:lineRule="auto"/>
        <w:rPr>
          <w:rFonts w:hint="eastAsia" w:ascii="宋体" w:hAnsi="宋体" w:eastAsia="宋体" w:cs="宋体"/>
          <w:b/>
          <w:color w:val="auto"/>
          <w:sz w:val="22"/>
          <w:szCs w:val="21"/>
          <w:highlight w:val="none"/>
        </w:rPr>
      </w:pPr>
      <w:r>
        <w:rPr>
          <w:rFonts w:hint="eastAsia" w:ascii="宋体" w:hAnsi="宋体" w:eastAsia="宋体" w:cs="宋体"/>
          <w:b/>
          <w:color w:val="auto"/>
          <w:sz w:val="22"/>
          <w:szCs w:val="21"/>
          <w:highlight w:val="none"/>
        </w:rPr>
      </w:r>
      <w:r/>
    </w:p>
    <w:p>
      <w:pPr>
        <w:ind w:firstLine="442"/>
        <w:spacing w:line="360" w:lineRule="auto"/>
        <w:rPr>
          <w:rFonts w:hint="eastAsia" w:ascii="宋体" w:hAnsi="宋体" w:eastAsia="宋体" w:cs="宋体"/>
          <w:b/>
          <w:color w:val="auto"/>
          <w:sz w:val="22"/>
          <w:szCs w:val="21"/>
          <w:highlight w:val="none"/>
        </w:rPr>
      </w:pPr>
      <w:r>
        <w:rPr>
          <w:rFonts w:hint="eastAsia" w:ascii="宋体" w:hAnsi="宋体" w:eastAsia="宋体" w:cs="宋体"/>
          <w:b/>
          <w:color w:val="auto"/>
          <w:sz w:val="22"/>
          <w:szCs w:val="21"/>
          <w:highlight w:val="none"/>
        </w:rPr>
      </w:r>
      <w:r/>
    </w:p>
    <w:p>
      <w:pPr>
        <w:ind w:firstLine="442"/>
        <w:spacing w:line="360" w:lineRule="auto"/>
        <w:rPr>
          <w:rFonts w:hint="eastAsia" w:ascii="宋体" w:hAnsi="宋体" w:eastAsia="宋体" w:cs="宋体"/>
          <w:b/>
          <w:color w:val="auto"/>
          <w:sz w:val="22"/>
          <w:szCs w:val="21"/>
          <w:highlight w:val="none"/>
        </w:rPr>
      </w:pPr>
      <w:r>
        <w:rPr>
          <w:rFonts w:hint="eastAsia" w:ascii="宋体" w:hAnsi="宋体" w:eastAsia="宋体" w:cs="宋体"/>
          <w:b/>
          <w:color w:val="auto"/>
          <w:sz w:val="22"/>
          <w:szCs w:val="21"/>
          <w:highlight w:val="none"/>
        </w:rPr>
      </w:r>
      <w:r/>
    </w:p>
    <w:p>
      <w:pPr>
        <w:ind w:firstLine="442"/>
        <w:spacing w:line="360" w:lineRule="auto"/>
        <w:rPr>
          <w:rFonts w:hint="eastAsia" w:ascii="宋体" w:hAnsi="宋体" w:eastAsia="宋体" w:cs="宋体"/>
          <w:b/>
          <w:color w:val="auto"/>
          <w:sz w:val="22"/>
          <w:szCs w:val="21"/>
          <w:highlight w:val="none"/>
        </w:rPr>
      </w:pPr>
      <w:r>
        <w:rPr>
          <w:rFonts w:hint="eastAsia" w:ascii="宋体" w:hAnsi="宋体" w:eastAsia="宋体" w:cs="宋体"/>
          <w:b/>
          <w:color w:val="auto"/>
          <w:sz w:val="22"/>
          <w:szCs w:val="21"/>
          <w:highlight w:val="none"/>
        </w:rPr>
      </w:r>
      <w:r/>
    </w:p>
    <w:p>
      <w:pPr>
        <w:ind w:firstLine="442"/>
        <w:spacing w:line="360" w:lineRule="auto"/>
        <w:rPr>
          <w:rFonts w:hint="eastAsia" w:ascii="宋体" w:hAnsi="宋体" w:eastAsia="宋体" w:cs="宋体"/>
          <w:b/>
          <w:color w:val="auto"/>
          <w:sz w:val="22"/>
          <w:szCs w:val="21"/>
          <w:highlight w:val="none"/>
        </w:rPr>
      </w:pPr>
      <w:r>
        <w:rPr>
          <w:rFonts w:hint="eastAsia" w:ascii="宋体" w:hAnsi="宋体" w:eastAsia="宋体" w:cs="宋体"/>
          <w:b/>
          <w:color w:val="auto"/>
          <w:sz w:val="22"/>
          <w:szCs w:val="21"/>
          <w:highlight w:val="none"/>
        </w:rPr>
      </w:r>
      <w:r/>
    </w:p>
    <w:p>
      <w:pPr>
        <w:ind w:firstLine="442"/>
        <w:spacing w:line="360" w:lineRule="auto"/>
        <w:rPr>
          <w:rFonts w:hint="eastAsia" w:ascii="宋体" w:hAnsi="宋体" w:eastAsia="宋体" w:cs="宋体"/>
          <w:b/>
          <w:color w:val="auto"/>
          <w:sz w:val="22"/>
          <w:szCs w:val="21"/>
          <w:highlight w:val="none"/>
        </w:rPr>
      </w:pPr>
      <w:r>
        <w:rPr>
          <w:rFonts w:hint="eastAsia" w:ascii="宋体" w:hAnsi="宋体" w:eastAsia="宋体" w:cs="宋体"/>
          <w:b/>
          <w:color w:val="auto"/>
          <w:sz w:val="22"/>
          <w:szCs w:val="21"/>
          <w:highlight w:val="none"/>
        </w:rPr>
      </w:r>
      <w:r/>
    </w:p>
    <w:p>
      <w:pPr>
        <w:spacing w:line="360" w:lineRule="auto"/>
        <w:rPr>
          <w:rFonts w:hint="eastAsia" w:ascii="宋体" w:hAnsi="宋体" w:eastAsia="宋体" w:cs="宋体"/>
          <w:b/>
          <w:color w:val="auto"/>
          <w:sz w:val="22"/>
          <w:szCs w:val="21"/>
          <w:highlight w:val="none"/>
        </w:rPr>
      </w:pPr>
      <w:r>
        <w:rPr>
          <w:rFonts w:hint="eastAsia" w:ascii="宋体" w:hAnsi="宋体" w:eastAsia="宋体" w:cs="宋体"/>
          <w:b/>
          <w:color w:val="auto"/>
          <w:sz w:val="22"/>
          <w:szCs w:val="21"/>
          <w:highlight w:val="none"/>
        </w:rPr>
      </w:r>
      <w:r/>
    </w:p>
    <w:p>
      <w:pPr>
        <w:ind w:firstLine="44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ind w:firstLine="422"/>
        <w:jc w:val="left"/>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填报说明：</w:t>
      </w:r>
      <w:r/>
    </w:p>
    <w:p>
      <w:pPr>
        <w:ind w:firstLine="422"/>
        <w:jc w:val="left"/>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1、请供应商如实填写，所填内容将作为评审的依据。其内容填写须与报价明细表一致，如填写不完整或不一致，将不享受扶持政策。</w:t>
      </w:r>
      <w:r/>
    </w:p>
    <w:p>
      <w:pPr>
        <w:ind w:firstLine="422"/>
        <w:jc w:val="left"/>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2、成交供应商的《残疾人福利性单位声明函》随成交结果公开。</w:t>
      </w:r>
      <w:r/>
    </w:p>
    <w:p>
      <w:pPr>
        <w:ind w:firstLine="422"/>
        <w:jc w:val="center"/>
        <w:spacing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Cs w:val="21"/>
          <w:highlight w:val="none"/>
          <w:u w:val="single"/>
        </w:rPr>
        <w:br w:type="page" w:clear="all"/>
      </w:r>
      <w:r>
        <w:rPr>
          <w:rFonts w:hint="eastAsia" w:ascii="宋体" w:hAnsi="宋体" w:eastAsia="宋体" w:cs="宋体"/>
          <w:b/>
          <w:color w:val="auto"/>
          <w:sz w:val="32"/>
          <w:szCs w:val="32"/>
          <w:highlight w:val="none"/>
        </w:rPr>
        <w:t xml:space="preserve">五、资格证明文件</w:t>
      </w:r>
      <w:bookmarkEnd w:id="242"/>
      <w:r/>
      <w:bookmarkEnd w:id="243"/>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1、满足《中华人民共和国政府采购法》第二十二条规定，并提供下列材料：</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（1）法人或者其他组织的营业执照等证明文件，自然人的身份证明；</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（2）具有良好的商业信誉和健全的财务会计制度；（按连财购〔2023〕4号文件要求，符合要求的提交《财务状况报告及税收、社会保障资金缴纳情况承诺函》，并上传至电子响应文件中，详见采购文件）；</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（3）依法缴纳税收和社会保障资金的相关材料；（按连财购〔2023〕4号文件要求，符合要求的提交《财务状况报告及税收、社会保障资金缴纳情况承诺函》，并上传至电子响应文件中，详见采购文件）；</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（4）具备履行合同所必需的设备和专业技术能力的声明及证明材料；</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（5）参加政府采购活动前三年内在经营活动中没有重大违法记录的书面声明；</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在“信用中国”查询，供应商被列入失信被执行人、重大税收违法案件当事人名单、政府采购严重违法失信行为记录名单及具有其他不符合《中华人民共和国政府采购法》第二十二条规定情形的，拒绝其参与政府采购活动。（响应文件中无需提供证明材料。）</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7</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法律、行政法规规定的其他条件。</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落实政府采购政策需满足的资格要求：执行财政部、工业和信息化部关于印发《政府采购促进中小企业发展管理办法》的通知(财库[2020]46号)、苏财购[2022]45号，本项目专门面向中型企业、小型企业、微型企业、残疾人福利性单位、监狱企业进行采购，符合文件要求的供应商应提交《中小企业声明函》，并上传至电子响应文件中，具体详见磋商文件。</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3、本项目的特定资格要求：</w:t>
      </w:r>
      <w:r>
        <w:rPr>
          <w:rFonts w:hint="eastAsia" w:ascii="宋体" w:hAnsi="宋体" w:eastAsia="宋体" w:cs="宋体"/>
          <w:color w:val="auto"/>
          <w:sz w:val="24"/>
          <w:highlight w:val="none"/>
          <w:lang w:val="en-US" w:eastAsia="zh-CN"/>
        </w:rPr>
        <w:t xml:space="preserve">无</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4、本项目的其他资格要求：供应商/投标主体及其法定代表人、项目负责人未被列入“连云港市赣榆区行贿人联合惩戒信息库。</w:t>
      </w:r>
      <w:r>
        <w:rPr>
          <w:rFonts w:hint="eastAsia" w:ascii="宋体" w:hAnsi="宋体" w:eastAsia="宋体" w:cs="宋体"/>
          <w:color w:val="auto"/>
          <w:sz w:val="24"/>
          <w:highlight w:val="none"/>
          <w:lang w:eastAsia="zh-CN"/>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b/>
          <w:bCs/>
          <w:color w:val="auto"/>
          <w:sz w:val="24"/>
          <w:highlight w:val="none"/>
          <w:lang w:eastAsia="zh-CN"/>
        </w:rPr>
        <w:t xml:space="preserve">备注:采购人/招标人和区公共资源交易中心通过赣榆区行贿人联合惩戒信息库，对供应商/投标主体情况进行内部查询，查询结果页面打印留存。</w:t>
      </w:r>
      <w:r/>
    </w:p>
    <w:p>
      <w:pPr>
        <w:ind w:firstLine="7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spacing w:line="360" w:lineRule="auto"/>
        <w:rPr>
          <w:rFonts w:hint="eastAsia" w:ascii="宋体" w:hAnsi="宋体" w:eastAsia="宋体" w:cs="宋体"/>
          <w:b/>
          <w:color w:val="auto"/>
          <w:sz w:val="32"/>
          <w:szCs w:val="32"/>
          <w:highlight w:val="none"/>
        </w:rPr>
      </w:pPr>
      <w:r>
        <w:rPr>
          <w:rFonts w:hint="eastAsia" w:ascii="宋体" w:hAnsi="宋体" w:eastAsia="宋体" w:cs="宋体"/>
          <w:color w:val="auto"/>
          <w:sz w:val="24"/>
          <w:highlight w:val="none"/>
          <w:u w:val="single"/>
        </w:rPr>
        <w:br w:type="page" w:clear="all"/>
      </w:r>
      <w:r>
        <w:rPr>
          <w:rFonts w:hint="eastAsia" w:ascii="宋体" w:hAnsi="宋体" w:eastAsia="宋体" w:cs="宋体"/>
          <w:b/>
          <w:color w:val="auto"/>
          <w:sz w:val="32"/>
          <w:szCs w:val="32"/>
          <w:highlight w:val="none"/>
        </w:rPr>
        <w:t xml:space="preserve">财务状况报告及税收、社会保障资金</w:t>
      </w:r>
      <w:r/>
    </w:p>
    <w:p>
      <w:pPr>
        <w:jc w:val="center"/>
        <w:spacing w:line="360" w:lineRule="auto"/>
        <w:rPr>
          <w:rFonts w:hint="eastAsia" w:ascii="宋体" w:hAnsi="宋体" w:eastAsia="宋体" w:cs="宋体"/>
          <w:color w:val="auto"/>
          <w:sz w:val="28"/>
          <w:szCs w:val="28"/>
          <w:highlight w:val="none"/>
        </w:rPr>
      </w:pPr>
      <w:r>
        <w:rPr>
          <w:rFonts w:hint="eastAsia" w:ascii="宋体" w:hAnsi="宋体" w:eastAsia="宋体" w:cs="宋体"/>
          <w:b/>
          <w:color w:val="auto"/>
          <w:sz w:val="32"/>
          <w:szCs w:val="32"/>
          <w:highlight w:val="none"/>
        </w:rPr>
        <w:t xml:space="preserve">缴纳情况承诺函</w:t>
      </w:r>
      <w:r/>
    </w:p>
    <w:p>
      <w:pPr>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致：</w:t>
      </w:r>
      <w:r>
        <w:rPr>
          <w:rFonts w:hint="eastAsia" w:ascii="宋体" w:hAnsi="宋体" w:eastAsia="宋体" w:cs="宋体"/>
          <w:color w:val="auto"/>
          <w:sz w:val="24"/>
          <w:highlight w:val="none"/>
          <w:u w:val="single"/>
        </w:rPr>
        <w:t xml:space="preserve">采购人名称</w:t>
      </w:r>
      <w:r/>
    </w:p>
    <w:p>
      <w:pPr>
        <w:ind w:firstLine="480"/>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我方</w:t>
      </w:r>
      <w:r>
        <w:rPr>
          <w:rFonts w:hint="eastAsia" w:ascii="宋体" w:hAnsi="宋体" w:eastAsia="宋体" w:cs="宋体"/>
          <w:color w:val="auto"/>
          <w:sz w:val="24"/>
          <w:highlight w:val="none"/>
          <w:u w:val="single"/>
        </w:rPr>
        <w:t xml:space="preserve">供应商名称</w:t>
      </w:r>
      <w:r>
        <w:rPr>
          <w:rFonts w:hint="eastAsia" w:ascii="宋体" w:hAnsi="宋体" w:eastAsia="宋体" w:cs="宋体"/>
          <w:color w:val="auto"/>
          <w:sz w:val="24"/>
          <w:highlight w:val="none"/>
        </w:rPr>
        <w:t xml:space="preserve">参加</w:t>
      </w:r>
      <w:r>
        <w:rPr>
          <w:rFonts w:hint="eastAsia" w:ascii="宋体" w:hAnsi="宋体" w:eastAsia="宋体" w:cs="宋体"/>
          <w:color w:val="auto"/>
          <w:sz w:val="24"/>
          <w:highlight w:val="none"/>
          <w:u w:val="single"/>
        </w:rPr>
        <w:t xml:space="preserve">项目名称</w:t>
      </w:r>
      <w:r>
        <w:rPr>
          <w:rFonts w:hint="eastAsia" w:ascii="宋体" w:hAnsi="宋体" w:eastAsia="宋体" w:cs="宋体"/>
          <w:color w:val="auto"/>
          <w:sz w:val="24"/>
          <w:highlight w:val="none"/>
        </w:rPr>
        <w:t xml:space="preserve">（项目编号：</w:t>
      </w:r>
      <w:r>
        <w:rPr>
          <w:rFonts w:hint="eastAsia" w:ascii="宋体" w:hAnsi="宋体" w:eastAsia="宋体" w:cs="宋体"/>
          <w:color w:val="auto"/>
          <w:sz w:val="24"/>
          <w:highlight w:val="none"/>
          <w:u w:val="single"/>
        </w:rPr>
        <w:t xml:space="preserve">项目编号</w:t>
      </w:r>
      <w:r>
        <w:rPr>
          <w:rFonts w:hint="eastAsia" w:ascii="宋体" w:hAnsi="宋体" w:eastAsia="宋体" w:cs="宋体"/>
          <w:color w:val="auto"/>
          <w:sz w:val="24"/>
          <w:highlight w:val="none"/>
        </w:rPr>
        <w:t xml:space="preserve">）采购，根据《</w:t>
      </w:r>
      <w:r>
        <w:rPr>
          <w:rStyle w:val="768"/>
          <w:rFonts w:hint="eastAsia" w:ascii="宋体" w:hAnsi="宋体" w:eastAsia="宋体" w:cs="宋体"/>
          <w:b w:val="0"/>
          <w:color w:val="auto"/>
          <w:sz w:val="24"/>
          <w:highlight w:val="none"/>
        </w:rPr>
        <w:t xml:space="preserve">关于简化政府采购供应商资格审查有关事项的通知</w:t>
      </w:r>
      <w:r>
        <w:rPr>
          <w:rFonts w:hint="eastAsia" w:ascii="宋体" w:hAnsi="宋体" w:eastAsia="宋体" w:cs="宋体"/>
          <w:color w:val="auto"/>
          <w:sz w:val="24"/>
          <w:highlight w:val="none"/>
        </w:rPr>
        <w:t xml:space="preserve">》（连财购〔2023〕4号），我方承诺具备《中华人民共和国政府采购法》第二十二条第（二）、第（四）项，《中华人民共和国政府采购法实施条例》第十七条第（二）项规定条件的，具体包括：</w:t>
      </w:r>
      <w:r/>
    </w:p>
    <w:p>
      <w:pPr>
        <w:ind w:left="360" w:firstLine="240"/>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（1）具有良好的商业信誉和健全的财务会计制度（财务状况报告）；</w:t>
      </w:r>
      <w:r/>
    </w:p>
    <w:p>
      <w:pPr>
        <w:ind w:left="360" w:firstLine="240"/>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（2）有依法缴纳税收和社会保障资金的良好记录。</w:t>
      </w:r>
      <w:r/>
    </w:p>
    <w:p>
      <w:pPr>
        <w:ind w:firstLine="480"/>
        <w:jc w:val="left"/>
        <w:spacing w:line="56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jc w:val="left"/>
        <w:spacing w:line="56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特此承诺</w:t>
      </w:r>
      <w:r/>
    </w:p>
    <w:p>
      <w:pPr>
        <w:ind w:left="360" w:firstLine="405"/>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left="360" w:firstLine="405"/>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left="360" w:firstLine="405"/>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供应商（公章）：          </w:t>
      </w:r>
      <w:r/>
    </w:p>
    <w:p>
      <w:pPr>
        <w:ind w:left="360" w:firstLine="405"/>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left="360" w:firstLine="405"/>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法定代表人或其委托代理人（签名或签章）：</w:t>
      </w:r>
      <w:r/>
    </w:p>
    <w:p>
      <w:pPr>
        <w:ind w:left="360" w:firstLine="405"/>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left="360" w:firstLine="405"/>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日期：</w:t>
      </w:r>
      <w:r/>
    </w:p>
    <w:p>
      <w:pPr>
        <w:jc w:val="center"/>
        <w:spacing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spacing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1001"/>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1001"/>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spacing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1001"/>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spacing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具备履行合同所必需的设备和专业技术能力的声明</w:t>
      </w:r>
      <w:r/>
    </w:p>
    <w:p>
      <w:pPr>
        <w:jc w:val="center"/>
        <w:spacing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及证明材料</w:t>
      </w:r>
      <w:r/>
    </w:p>
    <w:p>
      <w:pPr>
        <w:ind w:firstLine="492"/>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92"/>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u w:val="single"/>
        </w:rPr>
        <w:t xml:space="preserve">（供应商名称）</w:t>
      </w:r>
      <w:r>
        <w:rPr>
          <w:rFonts w:hint="eastAsia" w:ascii="宋体" w:hAnsi="宋体" w:eastAsia="宋体" w:cs="宋体"/>
          <w:color w:val="auto"/>
          <w:sz w:val="24"/>
          <w:highlight w:val="none"/>
        </w:rPr>
        <w:t xml:space="preserve">公司郑重声明：我单位具备履行本项采购合同所必需的设备和专业技术能力。</w:t>
      </w:r>
      <w:r/>
    </w:p>
    <w:p>
      <w:pPr>
        <w:ind w:firstLine="492"/>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主要设备有：。</w:t>
      </w:r>
      <w:r/>
    </w:p>
    <w:p>
      <w:pPr>
        <w:ind w:firstLine="492"/>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主要专业技术能力有：。</w:t>
      </w:r>
      <w:r/>
    </w:p>
    <w:p>
      <w:pPr>
        <w:ind w:firstLine="492"/>
        <w:spacing w:line="46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注：需提供证明材料。</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504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磋商供应商（公章）：</w:t>
      </w:r>
      <w:r/>
    </w:p>
    <w:p>
      <w:pPr>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rPr>
        <w:t xml:space="preserve">                                          法定代表人或授权代表签字：</w:t>
      </w:r>
      <w:r/>
    </w:p>
    <w:p>
      <w:pP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                                          日期：年月日</w:t>
      </w:r>
      <w:r/>
    </w:p>
    <w:p>
      <w:pPr>
        <w:jc w:val="center"/>
        <w:spacing w:line="360" w:lineRule="auto"/>
        <w:rPr>
          <w:rFonts w:hint="eastAsia" w:ascii="宋体" w:hAnsi="宋体" w:eastAsia="宋体" w:cs="宋体"/>
          <w:b/>
          <w:color w:val="auto"/>
          <w:sz w:val="32"/>
          <w:szCs w:val="32"/>
          <w:highlight w:val="none"/>
        </w:rPr>
      </w:pPr>
      <w:r>
        <w:rPr>
          <w:rFonts w:hint="eastAsia" w:ascii="宋体" w:hAnsi="宋体" w:eastAsia="宋体" w:cs="宋体"/>
          <w:color w:val="auto"/>
          <w:sz w:val="24"/>
          <w:highlight w:val="none"/>
          <w:u w:val="single"/>
        </w:rPr>
        <w:br w:type="page" w:clear="all"/>
      </w:r>
      <w:r>
        <w:rPr>
          <w:rFonts w:hint="eastAsia" w:ascii="宋体" w:hAnsi="宋体" w:eastAsia="宋体" w:cs="宋体"/>
          <w:b/>
          <w:color w:val="auto"/>
          <w:sz w:val="32"/>
          <w:szCs w:val="32"/>
          <w:highlight w:val="none"/>
        </w:rPr>
        <w:t xml:space="preserve">参加本采购活动前3年内在经营活动中没有重大违法</w:t>
      </w:r>
      <w:r/>
    </w:p>
    <w:p>
      <w:pPr>
        <w:jc w:val="center"/>
        <w:spacing w:line="360" w:lineRule="auto"/>
        <w:rPr>
          <w:rFonts w:hint="eastAsia" w:ascii="宋体" w:hAnsi="宋体" w:eastAsia="宋体" w:cs="宋体"/>
          <w:color w:val="auto"/>
          <w:sz w:val="32"/>
          <w:szCs w:val="32"/>
          <w:highlight w:val="none"/>
        </w:rPr>
      </w:pPr>
      <w:r>
        <w:rPr>
          <w:rFonts w:hint="eastAsia" w:ascii="宋体" w:hAnsi="宋体" w:eastAsia="宋体" w:cs="宋体"/>
          <w:b/>
          <w:color w:val="auto"/>
          <w:sz w:val="32"/>
          <w:szCs w:val="32"/>
          <w:highlight w:val="none"/>
        </w:rPr>
        <w:t xml:space="preserve">记录的书面声明</w:t>
      </w:r>
      <w:r/>
    </w:p>
    <w:p>
      <w:pPr>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p>
      <w:pP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我公司郑重声明：参加本次采购活动前3年内，我公司在经营活动中没有因违法经营受到刑事处罚或者责令停产停业、吊销许可证或者执照、较大数额罚款等行政处罚。</w:t>
      </w:r>
      <w:r/>
    </w:p>
    <w:p>
      <w:pP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ind w:firstLine="504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磋商供应商（公章）：</w:t>
      </w:r>
      <w:r/>
    </w:p>
    <w:p>
      <w:pPr>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rPr>
        <w:t xml:space="preserve">                                          法定代表人或授权代表签字：</w:t>
      </w:r>
      <w:r/>
    </w:p>
    <w:p>
      <w:pP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                                          日期：年月日</w:t>
      </w:r>
      <w:r/>
    </w:p>
    <w:p>
      <w:pPr>
        <w:jc w:val="left"/>
        <w:spacing w:before="50"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r>
      <w:r/>
    </w:p>
    <w:p>
      <w:pPr>
        <w:jc w:val="left"/>
        <w:spacing w:before="50" w:line="360" w:lineRule="auto"/>
        <w:rPr>
          <w:rFonts w:hint="eastAsia" w:ascii="宋体" w:hAnsi="宋体" w:eastAsia="宋体" w:cs="宋体"/>
          <w:b/>
          <w:bCs/>
          <w:color w:val="auto"/>
          <w:sz w:val="24"/>
          <w:highlight w:val="none"/>
          <w:u w:val="single"/>
        </w:rPr>
      </w:pPr>
      <w:r>
        <w:rPr>
          <w:rFonts w:hint="eastAsia" w:ascii="宋体" w:hAnsi="宋体" w:eastAsia="宋体" w:cs="宋体"/>
          <w:b/>
          <w:bCs/>
          <w:color w:val="auto"/>
          <w:sz w:val="24"/>
          <w:highlight w:val="none"/>
          <w:u w:val="single"/>
        </w:rPr>
      </w:r>
      <w:r/>
    </w:p>
    <w:p>
      <w:pPr>
        <w:ind w:firstLine="480"/>
        <w:jc w:val="left"/>
        <w:spacing w:before="50" w:line="360" w:lineRule="auto"/>
        <w:rPr>
          <w:rFonts w:hint="eastAsia" w:ascii="宋体" w:hAnsi="宋体" w:eastAsia="宋体" w:cs="宋体"/>
          <w:b/>
          <w:bCs/>
          <w:i/>
          <w:color w:val="auto"/>
          <w:sz w:val="24"/>
          <w:highlight w:val="none"/>
          <w:u w:val="single"/>
        </w:rPr>
      </w:pPr>
      <w:r>
        <w:rPr>
          <w:rFonts w:hint="eastAsia" w:ascii="宋体" w:hAnsi="宋体" w:eastAsia="宋体" w:cs="宋体"/>
          <w:b/>
          <w:bCs/>
          <w:i/>
          <w:color w:val="auto"/>
          <w:sz w:val="24"/>
          <w:highlight w:val="none"/>
          <w:u w:val="single"/>
        </w:rPr>
      </w:r>
      <w:r/>
    </w:p>
    <w:p>
      <w:pPr>
        <w:jc w:val="center"/>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p>
      <w:pPr>
        <w:jc w:val="center"/>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p>
      <w:pPr>
        <w:jc w:val="center"/>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p>
      <w:pPr>
        <w:jc w:val="center"/>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p>
      <w:pPr>
        <w:jc w:val="center"/>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p>
      <w:pPr>
        <w:jc w:val="center"/>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p>
      <w:pPr>
        <w:jc w:val="center"/>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p>
      <w:pPr>
        <w:jc w:val="center"/>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p>
      <w:pPr>
        <w:jc w:val="center"/>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p>
      <w:pPr>
        <w:jc w:val="center"/>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p>
      <w:pPr>
        <w:jc w:val="center"/>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p>
      <w:pPr>
        <w:jc w:val="center"/>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p>
      <w:pPr>
        <w:jc w:val="center"/>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p>
      <w:pPr>
        <w:jc w:val="center"/>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p>
      <w:pPr>
        <w:jc w:val="center"/>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p>
      <w:pPr>
        <w:pStyle w:val="1004"/>
        <w:ind w:firstLine="420"/>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p>
      <w:pPr>
        <w:pStyle w:val="1001"/>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line="360" w:lineRule="auto"/>
        <w:rPr>
          <w:rFonts w:hint="eastAsia" w:ascii="宋体" w:hAnsi="宋体" w:eastAsia="宋体" w:cs="宋体"/>
          <w:b/>
          <w:bCs/>
          <w:color w:val="auto"/>
          <w:sz w:val="32"/>
          <w:szCs w:val="32"/>
          <w:highlight w:val="none"/>
        </w:rPr>
      </w:pPr>
      <w:r/>
      <w:bookmarkStart w:id="244" w:name="_Toc91183849"/>
      <w:r/>
      <w:bookmarkStart w:id="245" w:name="_Toc91256337"/>
      <w:r/>
      <w:r/>
    </w:p>
    <w:p>
      <w:pPr>
        <w:jc w:val="center"/>
        <w:spacing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六、法定代表人授权委托书</w:t>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bookmarkEnd w:id="244"/>
      <w:r/>
      <w:bookmarkEnd w:id="245"/>
      <w:r/>
      <w:r/>
    </w:p>
    <w:p>
      <w:pPr>
        <w:pStyle w:val="741"/>
        <w:spacing w:line="360" w:lineRule="auto"/>
        <w:rPr>
          <w:rFonts w:hint="eastAsia" w:ascii="宋体" w:hAnsi="宋体" w:eastAsia="宋体" w:cs="宋体"/>
          <w:b/>
          <w:bCs/>
          <w:color w:val="auto"/>
          <w:sz w:val="24"/>
          <w:szCs w:val="24"/>
          <w:highlight w:val="none"/>
          <w:u w:val="single"/>
        </w:rPr>
      </w:pPr>
      <w:r>
        <w:rPr>
          <w:rFonts w:hint="eastAsia" w:ascii="宋体" w:hAnsi="宋体" w:eastAsia="宋体" w:cs="宋体"/>
          <w:color w:val="auto"/>
          <w:sz w:val="24"/>
          <w:szCs w:val="24"/>
          <w:highlight w:val="none"/>
          <w:u w:val="single"/>
        </w:rPr>
        <w:t xml:space="preserve">【采购人】：            </w:t>
      </w:r>
      <w:r/>
    </w:p>
    <w:p>
      <w:pPr>
        <w:pStyle w:val="741"/>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本授权书声明：注册于</w:t>
      </w:r>
      <w:r>
        <w:rPr>
          <w:rFonts w:hint="eastAsia" w:ascii="宋体" w:hAnsi="宋体" w:eastAsia="宋体" w:cs="宋体"/>
          <w:color w:val="auto"/>
          <w:sz w:val="24"/>
          <w:szCs w:val="24"/>
          <w:highlight w:val="none"/>
          <w:u w:val="single"/>
        </w:rPr>
        <w:t xml:space="preserve">  （委托单位全称） </w:t>
      </w:r>
      <w:r>
        <w:rPr>
          <w:rFonts w:hint="eastAsia" w:ascii="宋体" w:hAnsi="宋体" w:eastAsia="宋体" w:cs="宋体"/>
          <w:color w:val="auto"/>
          <w:sz w:val="24"/>
          <w:szCs w:val="24"/>
          <w:highlight w:val="none"/>
        </w:rPr>
        <w:t xml:space="preserve">的法定代表人代表本公司授权</w:t>
      </w:r>
      <w:r>
        <w:rPr>
          <w:rFonts w:hint="eastAsia" w:ascii="宋体" w:hAnsi="宋体" w:eastAsia="宋体" w:cs="宋体"/>
          <w:color w:val="auto"/>
          <w:sz w:val="24"/>
          <w:szCs w:val="24"/>
          <w:highlight w:val="none"/>
          <w:u w:val="single"/>
        </w:rPr>
        <w:t xml:space="preserve">（姓名和职务）</w:t>
      </w:r>
      <w:r>
        <w:rPr>
          <w:rFonts w:hint="eastAsia" w:ascii="宋体" w:hAnsi="宋体" w:eastAsia="宋体" w:cs="宋体"/>
          <w:color w:val="auto"/>
          <w:sz w:val="24"/>
          <w:szCs w:val="24"/>
          <w:highlight w:val="none"/>
        </w:rPr>
        <w:t xml:space="preserve">为本公司合法代理人，就贵方组织的有关</w:t>
      </w:r>
      <w:r>
        <w:rPr>
          <w:rFonts w:hint="eastAsia" w:ascii="宋体" w:hAnsi="宋体" w:eastAsia="宋体" w:cs="宋体"/>
          <w:color w:val="auto"/>
          <w:sz w:val="24"/>
          <w:szCs w:val="24"/>
          <w:highlight w:val="none"/>
          <w:u w:val="single"/>
        </w:rPr>
        <w:t xml:space="preserve">【标段名称】</w:t>
      </w:r>
      <w:r>
        <w:rPr>
          <w:rFonts w:hint="eastAsia" w:ascii="宋体" w:hAnsi="宋体" w:eastAsia="宋体" w:cs="宋体"/>
          <w:color w:val="auto"/>
          <w:sz w:val="24"/>
          <w:szCs w:val="24"/>
          <w:highlight w:val="none"/>
        </w:rPr>
        <w:t xml:space="preserve">项目（标段编号：</w:t>
      </w:r>
      <w:r>
        <w:rPr>
          <w:rFonts w:hint="eastAsia" w:ascii="宋体" w:hAnsi="宋体" w:eastAsia="宋体" w:cs="宋体"/>
          <w:color w:val="auto"/>
          <w:sz w:val="24"/>
          <w:szCs w:val="24"/>
          <w:highlight w:val="none"/>
          <w:u w:val="single"/>
        </w:rPr>
        <w:t xml:space="preserve">【标段编号】</w:t>
      </w:r>
      <w:r>
        <w:rPr>
          <w:rFonts w:hint="eastAsia" w:ascii="宋体" w:hAnsi="宋体" w:eastAsia="宋体" w:cs="宋体"/>
          <w:color w:val="auto"/>
          <w:sz w:val="24"/>
          <w:szCs w:val="24"/>
          <w:highlight w:val="none"/>
        </w:rPr>
        <w:t xml:space="preserve">）的磋商采购及合同签订、执行、完成，以本单位名义处理一切与之有关的事务。</w:t>
      </w:r>
      <w:r/>
    </w:p>
    <w:p>
      <w:pPr>
        <w:pStyle w:val="741"/>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本授权书于年月日签字（或盖章）生效，特此声明。</w:t>
      </w:r>
      <w:r/>
    </w:p>
    <w:p>
      <w:pPr>
        <w:pStyle w:val="741"/>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41"/>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委托单位（盖章）：                      </w:t>
      </w:r>
      <w:r/>
    </w:p>
    <w:p>
      <w:pPr>
        <w:pStyle w:val="741"/>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法定代表人（签字或盖章）：</w:t>
      </w:r>
      <w:r/>
    </w:p>
    <w:p>
      <w:pPr>
        <w:pStyle w:val="741"/>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签发日期：年月日</w:t>
      </w:r>
      <w:r/>
    </w:p>
    <w:p>
      <w:pPr>
        <w:pStyle w:val="741"/>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附法定代表人与委托代理人身份证正反面原件扫描件。</w:t>
      </w:r>
      <w:r/>
    </w:p>
    <w:p>
      <w:pPr>
        <w:pStyle w:val="741"/>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41"/>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41"/>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41"/>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pStyle w:val="741"/>
        <w:ind w:firstLine="422"/>
        <w:jc w:val="left"/>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说明：</w:t>
      </w:r>
      <w:r/>
    </w:p>
    <w:p>
      <w:pPr>
        <w:pStyle w:val="741"/>
        <w:ind w:firstLine="422"/>
        <w:jc w:val="left"/>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1．委托书内容填写应当明确、文字工整清楚，涂改无效。</w:t>
      </w:r>
      <w:r/>
    </w:p>
    <w:p>
      <w:pPr>
        <w:pStyle w:val="741"/>
        <w:ind w:firstLine="422"/>
        <w:jc w:val="left"/>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2．委托书不得转借、转让、买卖。</w:t>
      </w:r>
      <w:r/>
    </w:p>
    <w:p>
      <w:pPr>
        <w:pStyle w:val="741"/>
        <w:ind w:firstLine="422"/>
        <w:jc w:val="left"/>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3．委托代理人根据授权范围，以委托单位的名义签订合同，并将此委托书提交给采购单位作为合同附件。</w:t>
      </w:r>
      <w:r/>
    </w:p>
    <w:p>
      <w:pPr>
        <w:jc w:val="center"/>
        <w:rPr>
          <w:rFonts w:hint="eastAsia" w:ascii="宋体" w:hAnsi="宋体" w:eastAsia="宋体" w:cs="宋体"/>
          <w:b/>
          <w:color w:val="auto"/>
          <w:sz w:val="32"/>
          <w:szCs w:val="32"/>
          <w:highlight w:val="none"/>
        </w:rPr>
      </w:pPr>
      <w:r>
        <w:rPr>
          <w:rFonts w:hint="eastAsia" w:ascii="宋体" w:hAnsi="宋体" w:eastAsia="宋体" w:cs="宋体"/>
          <w:b/>
          <w:bCs/>
          <w:color w:val="auto"/>
          <w:szCs w:val="21"/>
          <w:highlight w:val="none"/>
        </w:rPr>
        <w:br w:type="page" w:clear="all"/>
      </w:r>
      <w:r>
        <w:rPr>
          <w:rFonts w:hint="eastAsia" w:ascii="宋体" w:hAnsi="宋体" w:eastAsia="宋体" w:cs="宋体"/>
          <w:b/>
          <w:bCs/>
          <w:color w:val="auto"/>
          <w:sz w:val="32"/>
          <w:szCs w:val="32"/>
          <w:highlight w:val="none"/>
        </w:rPr>
        <w:t xml:space="preserve">七、</w:t>
      </w:r>
      <w:r>
        <w:rPr>
          <w:rFonts w:hint="eastAsia" w:ascii="宋体" w:hAnsi="宋体" w:eastAsia="宋体" w:cs="宋体"/>
          <w:b/>
          <w:color w:val="auto"/>
          <w:sz w:val="32"/>
          <w:szCs w:val="32"/>
          <w:highlight w:val="none"/>
        </w:rPr>
        <w:t xml:space="preserve">商务条款偏离表</w:t>
      </w:r>
      <w:r/>
    </w:p>
    <w:p>
      <w:pPr>
        <w:pStyle w:val="716"/>
        <w:rPr>
          <w:rFonts w:hint="eastAsia" w:ascii="宋体" w:hAnsi="宋体" w:eastAsia="宋体" w:cs="宋体"/>
          <w:color w:val="auto"/>
          <w:sz w:val="13"/>
          <w:szCs w:val="13"/>
          <w:highlight w:val="none"/>
        </w:rPr>
      </w:pPr>
      <w:r>
        <w:rPr>
          <w:rFonts w:hint="eastAsia" w:ascii="宋体" w:hAnsi="宋体" w:eastAsia="宋体" w:cs="宋体"/>
          <w:color w:val="auto"/>
          <w:sz w:val="13"/>
          <w:szCs w:val="13"/>
          <w:highlight w:val="none"/>
        </w:rPr>
      </w:r>
      <w:r/>
    </w:p>
    <w:p>
      <w:pPr>
        <w:pStyle w:val="741"/>
        <w:spacing w:line="360" w:lineRule="auto"/>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请</w:t>
      </w:r>
      <w:r>
        <w:rPr>
          <w:rFonts w:hint="eastAsia" w:ascii="宋体" w:hAnsi="宋体" w:eastAsia="宋体" w:cs="宋体"/>
          <w:b/>
          <w:bCs/>
          <w:color w:val="auto"/>
          <w:sz w:val="24"/>
          <w:szCs w:val="24"/>
          <w:highlight w:val="none"/>
        </w:rPr>
        <w:t xml:space="preserve">逐条对应</w:t>
      </w:r>
      <w:r>
        <w:rPr>
          <w:rFonts w:hint="eastAsia" w:ascii="宋体" w:hAnsi="宋体" w:eastAsia="宋体" w:cs="宋体"/>
          <w:color w:val="auto"/>
          <w:sz w:val="24"/>
          <w:szCs w:val="24"/>
          <w:highlight w:val="none"/>
        </w:rPr>
        <w:t xml:space="preserve">磋商文件“项目需求”等内容要求的商务条件，填写该表。</w:t>
      </w:r>
      <w:r/>
    </w:p>
    <w:tbl>
      <w:tblPr>
        <w:tblStyle w:val="72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27"/>
        <w:gridCol w:w="3254"/>
        <w:gridCol w:w="3254"/>
        <w:gridCol w:w="2228"/>
      </w:tblGrid>
      <w:tr>
        <w:trPr>
          <w:jc w:val="center"/>
          <w:trHeight w:val="614"/>
        </w:trPr>
        <w:tc>
          <w:tcPr>
            <w:tcW w:w="927" w:type="dxa"/>
            <w:vAlign w:val="center"/>
            <w:textDirection w:val="lrTb"/>
            <w:noWrap/>
          </w:tcPr>
          <w:p>
            <w:pPr>
              <w:pStyle w:val="741"/>
              <w:jc w:val="center"/>
              <w:spacing w:line="6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项号</w:t>
            </w:r>
            <w:r/>
          </w:p>
        </w:tc>
        <w:tc>
          <w:tcPr>
            <w:tcW w:w="3254" w:type="dxa"/>
            <w:vAlign w:val="center"/>
            <w:textDirection w:val="lrTb"/>
            <w:noWrap/>
          </w:tcPr>
          <w:p>
            <w:pPr>
              <w:pStyle w:val="741"/>
              <w:jc w:val="center"/>
              <w:spacing w:line="6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磋商文件的商务条款</w:t>
            </w:r>
            <w:r/>
          </w:p>
        </w:tc>
        <w:tc>
          <w:tcPr>
            <w:tcW w:w="3254" w:type="dxa"/>
            <w:vAlign w:val="center"/>
            <w:textDirection w:val="lrTb"/>
            <w:noWrap/>
          </w:tcPr>
          <w:p>
            <w:pPr>
              <w:pStyle w:val="741"/>
              <w:jc w:val="center"/>
              <w:spacing w:line="6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响应文件的商务条款</w:t>
            </w:r>
            <w:r/>
          </w:p>
        </w:tc>
        <w:tc>
          <w:tcPr>
            <w:tcW w:w="2228" w:type="dxa"/>
            <w:vAlign w:val="center"/>
            <w:textDirection w:val="lrTb"/>
            <w:noWrap/>
          </w:tcPr>
          <w:p>
            <w:pPr>
              <w:pStyle w:val="741"/>
              <w:jc w:val="center"/>
              <w:spacing w:line="6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偏离说明</w:t>
            </w:r>
            <w:r/>
          </w:p>
        </w:tc>
      </w:tr>
      <w:tr>
        <w:trPr>
          <w:jc w:val="center"/>
          <w:trHeight w:val="614"/>
        </w:trPr>
        <w:tc>
          <w:tcPr>
            <w:tcW w:w="927" w:type="dxa"/>
            <w:textDirection w:val="lrTb"/>
            <w:noWrap/>
          </w:tcPr>
          <w:p>
            <w:pPr>
              <w:pStyle w:val="741"/>
              <w:spacing w:line="6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3254" w:type="dxa"/>
            <w:textDirection w:val="lrTb"/>
            <w:noWrap/>
          </w:tcPr>
          <w:p>
            <w:pPr>
              <w:pStyle w:val="741"/>
              <w:spacing w:line="6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3254" w:type="dxa"/>
            <w:textDirection w:val="lrTb"/>
            <w:noWrap/>
          </w:tcPr>
          <w:p>
            <w:pPr>
              <w:pStyle w:val="741"/>
              <w:spacing w:line="600" w:lineRule="exact"/>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tc>
        <w:tc>
          <w:tcPr>
            <w:tcW w:w="2228" w:type="dxa"/>
            <w:textDirection w:val="lrTb"/>
            <w:noWrap/>
          </w:tcPr>
          <w:p>
            <w:pPr>
              <w:pStyle w:val="741"/>
              <w:spacing w:line="6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614"/>
        </w:trPr>
        <w:tc>
          <w:tcPr>
            <w:tcW w:w="927" w:type="dxa"/>
            <w:textDirection w:val="lrTb"/>
            <w:noWrap/>
          </w:tcPr>
          <w:p>
            <w:pPr>
              <w:pStyle w:val="741"/>
              <w:spacing w:line="6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3254" w:type="dxa"/>
            <w:textDirection w:val="lrTb"/>
            <w:noWrap/>
          </w:tcPr>
          <w:p>
            <w:pPr>
              <w:pStyle w:val="741"/>
              <w:spacing w:line="6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3254" w:type="dxa"/>
            <w:textDirection w:val="lrTb"/>
            <w:noWrap/>
          </w:tcPr>
          <w:p>
            <w:pPr>
              <w:pStyle w:val="741"/>
              <w:spacing w:line="6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228" w:type="dxa"/>
            <w:textDirection w:val="lrTb"/>
            <w:noWrap/>
          </w:tcPr>
          <w:p>
            <w:pPr>
              <w:pStyle w:val="741"/>
              <w:spacing w:line="6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603"/>
        </w:trPr>
        <w:tc>
          <w:tcPr>
            <w:tcW w:w="927" w:type="dxa"/>
            <w:textDirection w:val="lrTb"/>
            <w:noWrap/>
          </w:tcPr>
          <w:p>
            <w:pPr>
              <w:pStyle w:val="741"/>
              <w:spacing w:line="6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3254" w:type="dxa"/>
            <w:textDirection w:val="lrTb"/>
            <w:noWrap/>
          </w:tcPr>
          <w:p>
            <w:pPr>
              <w:pStyle w:val="741"/>
              <w:spacing w:line="6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3254" w:type="dxa"/>
            <w:textDirection w:val="lrTb"/>
            <w:noWrap/>
          </w:tcPr>
          <w:p>
            <w:pPr>
              <w:pStyle w:val="741"/>
              <w:spacing w:line="6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228" w:type="dxa"/>
            <w:textDirection w:val="lrTb"/>
            <w:noWrap/>
          </w:tcPr>
          <w:p>
            <w:pPr>
              <w:pStyle w:val="741"/>
              <w:spacing w:line="6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614"/>
        </w:trPr>
        <w:tc>
          <w:tcPr>
            <w:tcW w:w="927" w:type="dxa"/>
            <w:textDirection w:val="lrTb"/>
            <w:noWrap/>
          </w:tcPr>
          <w:p>
            <w:pPr>
              <w:pStyle w:val="741"/>
              <w:spacing w:line="6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3254" w:type="dxa"/>
            <w:textDirection w:val="lrTb"/>
            <w:noWrap/>
          </w:tcPr>
          <w:p>
            <w:pPr>
              <w:pStyle w:val="741"/>
              <w:spacing w:line="6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3254" w:type="dxa"/>
            <w:textDirection w:val="lrTb"/>
            <w:noWrap/>
          </w:tcPr>
          <w:p>
            <w:pPr>
              <w:pStyle w:val="741"/>
              <w:spacing w:line="6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228" w:type="dxa"/>
            <w:textDirection w:val="lrTb"/>
            <w:noWrap/>
          </w:tcPr>
          <w:p>
            <w:pPr>
              <w:pStyle w:val="741"/>
              <w:spacing w:line="6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614"/>
        </w:trPr>
        <w:tc>
          <w:tcPr>
            <w:tcW w:w="927" w:type="dxa"/>
            <w:textDirection w:val="lrTb"/>
            <w:noWrap/>
          </w:tcPr>
          <w:p>
            <w:pPr>
              <w:pStyle w:val="741"/>
              <w:spacing w:line="6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3254" w:type="dxa"/>
            <w:textDirection w:val="lrTb"/>
            <w:noWrap/>
          </w:tcPr>
          <w:p>
            <w:pPr>
              <w:pStyle w:val="741"/>
              <w:spacing w:line="6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3254" w:type="dxa"/>
            <w:textDirection w:val="lrTb"/>
            <w:noWrap/>
          </w:tcPr>
          <w:p>
            <w:pPr>
              <w:pStyle w:val="741"/>
              <w:spacing w:line="6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228" w:type="dxa"/>
            <w:textDirection w:val="lrTb"/>
            <w:noWrap/>
          </w:tcPr>
          <w:p>
            <w:pPr>
              <w:pStyle w:val="741"/>
              <w:spacing w:line="6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614"/>
        </w:trPr>
        <w:tc>
          <w:tcPr>
            <w:tcW w:w="927" w:type="dxa"/>
            <w:textDirection w:val="lrTb"/>
            <w:noWrap/>
          </w:tcPr>
          <w:p>
            <w:pPr>
              <w:pStyle w:val="741"/>
              <w:spacing w:line="6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3254" w:type="dxa"/>
            <w:textDirection w:val="lrTb"/>
            <w:noWrap/>
          </w:tcPr>
          <w:p>
            <w:pPr>
              <w:pStyle w:val="741"/>
              <w:spacing w:line="6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3254" w:type="dxa"/>
            <w:textDirection w:val="lrTb"/>
            <w:noWrap/>
          </w:tcPr>
          <w:p>
            <w:pPr>
              <w:pStyle w:val="741"/>
              <w:spacing w:line="6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228" w:type="dxa"/>
            <w:textDirection w:val="lrTb"/>
            <w:noWrap/>
          </w:tcPr>
          <w:p>
            <w:pPr>
              <w:pStyle w:val="741"/>
              <w:spacing w:line="6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614"/>
        </w:trPr>
        <w:tc>
          <w:tcPr>
            <w:tcW w:w="927" w:type="dxa"/>
            <w:textDirection w:val="lrTb"/>
            <w:noWrap/>
          </w:tcPr>
          <w:p>
            <w:pPr>
              <w:pStyle w:val="741"/>
              <w:spacing w:line="6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3254" w:type="dxa"/>
            <w:textDirection w:val="lrTb"/>
            <w:noWrap/>
          </w:tcPr>
          <w:p>
            <w:pPr>
              <w:pStyle w:val="741"/>
              <w:spacing w:line="6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3254" w:type="dxa"/>
            <w:textDirection w:val="lrTb"/>
            <w:noWrap/>
          </w:tcPr>
          <w:p>
            <w:pPr>
              <w:pStyle w:val="741"/>
              <w:spacing w:line="6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228" w:type="dxa"/>
            <w:textDirection w:val="lrTb"/>
            <w:noWrap/>
          </w:tcPr>
          <w:p>
            <w:pPr>
              <w:pStyle w:val="741"/>
              <w:spacing w:line="6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614"/>
        </w:trPr>
        <w:tc>
          <w:tcPr>
            <w:tcW w:w="927" w:type="dxa"/>
            <w:textDirection w:val="lrTb"/>
            <w:noWrap/>
          </w:tcPr>
          <w:p>
            <w:pPr>
              <w:pStyle w:val="741"/>
              <w:spacing w:line="6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3254" w:type="dxa"/>
            <w:textDirection w:val="lrTb"/>
            <w:noWrap/>
          </w:tcPr>
          <w:p>
            <w:pPr>
              <w:pStyle w:val="741"/>
              <w:spacing w:line="6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3254" w:type="dxa"/>
            <w:textDirection w:val="lrTb"/>
            <w:noWrap/>
          </w:tcPr>
          <w:p>
            <w:pPr>
              <w:pStyle w:val="741"/>
              <w:spacing w:line="6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228" w:type="dxa"/>
            <w:textDirection w:val="lrTb"/>
            <w:noWrap/>
          </w:tcPr>
          <w:p>
            <w:pPr>
              <w:pStyle w:val="741"/>
              <w:spacing w:line="6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614"/>
        </w:trPr>
        <w:tc>
          <w:tcPr>
            <w:tcW w:w="927" w:type="dxa"/>
            <w:textDirection w:val="lrTb"/>
            <w:noWrap/>
          </w:tcPr>
          <w:p>
            <w:pPr>
              <w:pStyle w:val="741"/>
              <w:spacing w:line="6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3254" w:type="dxa"/>
            <w:textDirection w:val="lrTb"/>
            <w:noWrap/>
          </w:tcPr>
          <w:p>
            <w:pPr>
              <w:pStyle w:val="741"/>
              <w:spacing w:line="6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3254" w:type="dxa"/>
            <w:textDirection w:val="lrTb"/>
            <w:noWrap/>
          </w:tcPr>
          <w:p>
            <w:pPr>
              <w:pStyle w:val="741"/>
              <w:spacing w:line="6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228" w:type="dxa"/>
            <w:textDirection w:val="lrTb"/>
            <w:noWrap/>
          </w:tcPr>
          <w:p>
            <w:pPr>
              <w:pStyle w:val="741"/>
              <w:spacing w:line="6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626"/>
        </w:trPr>
        <w:tc>
          <w:tcPr>
            <w:tcW w:w="927" w:type="dxa"/>
            <w:textDirection w:val="lrTb"/>
            <w:noWrap/>
          </w:tcPr>
          <w:p>
            <w:pPr>
              <w:pStyle w:val="741"/>
              <w:spacing w:line="6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3254" w:type="dxa"/>
            <w:textDirection w:val="lrTb"/>
            <w:noWrap/>
          </w:tcPr>
          <w:p>
            <w:pPr>
              <w:pStyle w:val="741"/>
              <w:spacing w:line="6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3254" w:type="dxa"/>
            <w:textDirection w:val="lrTb"/>
            <w:noWrap/>
          </w:tcPr>
          <w:p>
            <w:pPr>
              <w:pStyle w:val="741"/>
              <w:spacing w:line="6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228" w:type="dxa"/>
            <w:textDirection w:val="lrTb"/>
            <w:noWrap/>
          </w:tcPr>
          <w:p>
            <w:pPr>
              <w:pStyle w:val="741"/>
              <w:spacing w:line="6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bl>
    <w:p>
      <w:pPr>
        <w:pStyle w:val="741"/>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注：“偏离说明”填写“正偏离”“负偏离”或“无偏离”。</w:t>
      </w:r>
      <w:r/>
    </w:p>
    <w:p>
      <w:pPr>
        <w:pStyle w:val="741"/>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5040"/>
        <w:spacing w:line="560" w:lineRule="exact"/>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rPr>
        <w:t xml:space="preserve">供应商（公章）：</w:t>
      </w:r>
      <w:r/>
    </w:p>
    <w:p>
      <w:pPr>
        <w:spacing w:line="5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                                          法定代表人或授权代表签字：______</w:t>
      </w:r>
      <w:r/>
    </w:p>
    <w:p>
      <w:pPr>
        <w:spacing w:line="5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                                          日期：______年月日</w:t>
      </w:r>
      <w:r/>
    </w:p>
    <w:p>
      <w:pPr>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ind w:firstLine="3233"/>
        <w:spacing w:line="360" w:lineRule="auto"/>
        <w:rPr>
          <w:rFonts w:hint="eastAsia" w:ascii="宋体" w:hAnsi="宋体" w:eastAsia="宋体" w:cs="宋体"/>
          <w:b/>
          <w:bCs/>
          <w:color w:val="auto"/>
          <w:sz w:val="28"/>
          <w:highlight w:val="none"/>
        </w:rPr>
      </w:pPr>
      <w:r>
        <w:rPr>
          <w:rFonts w:hint="eastAsia" w:ascii="宋体" w:hAnsi="宋体" w:eastAsia="宋体" w:cs="宋体"/>
          <w:b/>
          <w:bCs/>
          <w:color w:val="auto"/>
          <w:sz w:val="28"/>
          <w:highlight w:val="none"/>
        </w:rPr>
      </w:r>
      <w:r/>
    </w:p>
    <w:p>
      <w:pPr>
        <w:pStyle w:val="732"/>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3233"/>
        <w:spacing w:line="360" w:lineRule="auto"/>
        <w:rPr>
          <w:rFonts w:hint="eastAsia" w:ascii="宋体" w:hAnsi="宋体" w:eastAsia="宋体" w:cs="宋体"/>
          <w:b/>
          <w:bCs/>
          <w:color w:val="auto"/>
          <w:sz w:val="28"/>
          <w:highlight w:val="none"/>
        </w:rPr>
      </w:pPr>
      <w:r>
        <w:rPr>
          <w:rFonts w:hint="eastAsia" w:ascii="宋体" w:hAnsi="宋体" w:eastAsia="宋体" w:cs="宋体"/>
          <w:b/>
          <w:bCs/>
          <w:color w:val="auto"/>
          <w:sz w:val="28"/>
          <w:highlight w:val="none"/>
        </w:rPr>
      </w:r>
      <w:r/>
    </w:p>
    <w:p>
      <w:pPr>
        <w:pStyle w:val="716"/>
        <w:rPr>
          <w:rFonts w:hint="eastAsia" w:ascii="宋体" w:hAnsi="宋体" w:eastAsia="宋体" w:cs="宋体"/>
          <w:bCs/>
          <w:color w:val="auto"/>
          <w:highlight w:val="none"/>
        </w:rPr>
      </w:pPr>
      <w:r>
        <w:rPr>
          <w:rFonts w:hint="eastAsia" w:ascii="宋体" w:hAnsi="宋体" w:eastAsia="宋体" w:cs="宋体"/>
          <w:bCs/>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numPr>
          <w:ilvl w:val="0"/>
          <w:numId w:val="6"/>
        </w:numPr>
        <w:jc w:val="center"/>
        <w:spacing w:line="360" w:lineRule="auto"/>
        <w:rPr>
          <w:rFonts w:hint="eastAsia" w:ascii="宋体" w:hAnsi="宋体" w:eastAsia="宋体" w:cs="宋体"/>
          <w:b/>
          <w:bCs/>
          <w:color w:val="auto"/>
          <w:sz w:val="32"/>
          <w:szCs w:val="32"/>
          <w:highlight w:val="none"/>
        </w:rPr>
        <w:outlineLvl w:val="0"/>
      </w:pPr>
      <w:r/>
      <w:bookmarkStart w:id="246" w:name="_Toc3470"/>
      <w:r/>
      <w:bookmarkStart w:id="247" w:name="_Toc32188"/>
      <w:r/>
      <w:bookmarkStart w:id="248" w:name="_Toc25888"/>
      <w:r>
        <w:rPr>
          <w:rFonts w:hint="eastAsia" w:ascii="宋体" w:hAnsi="宋体" w:eastAsia="宋体" w:cs="宋体"/>
          <w:b/>
          <w:bCs/>
          <w:color w:val="auto"/>
          <w:sz w:val="32"/>
          <w:szCs w:val="32"/>
          <w:highlight w:val="none"/>
        </w:rPr>
        <w:t xml:space="preserve">类似项目供货业绩一览表</w:t>
      </w:r>
      <w:bookmarkEnd w:id="246"/>
      <w:r/>
      <w:bookmarkEnd w:id="247"/>
      <w:r/>
      <w:bookmarkEnd w:id="248"/>
      <w:r/>
      <w:r/>
    </w:p>
    <w:p>
      <w:pPr>
        <w:pStyle w:val="1001"/>
        <w:rPr>
          <w:rFonts w:hint="eastAsia" w:ascii="宋体" w:hAnsi="宋体" w:eastAsia="宋体" w:cs="宋体"/>
          <w:color w:val="auto"/>
          <w:highlight w:val="none"/>
        </w:rPr>
      </w:pPr>
      <w:r>
        <w:rPr>
          <w:rFonts w:hint="eastAsia" w:ascii="宋体" w:hAnsi="宋体" w:eastAsia="宋体" w:cs="宋体"/>
          <w:color w:val="auto"/>
          <w:highlight w:val="none"/>
        </w:rPr>
      </w:r>
      <w:r/>
    </w:p>
    <w:tbl>
      <w:tblPr>
        <w:tblStyle w:val="726"/>
        <w:tblW w:w="953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789"/>
        <w:gridCol w:w="1695"/>
        <w:gridCol w:w="1515"/>
        <w:gridCol w:w="1840"/>
        <w:gridCol w:w="3060"/>
        <w:gridCol w:w="635"/>
      </w:tblGrid>
      <w:tr>
        <w:trPr>
          <w:jc w:val="center"/>
          <w:trHeight w:val="753"/>
        </w:trPr>
        <w:tc>
          <w:tcPr>
            <w:tcW w:w="789" w:type="dxa"/>
            <w:vAlign w:val="center"/>
            <w:textDirection w:val="lrTb"/>
            <w:noWrap/>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序号</w:t>
            </w:r>
            <w:r/>
          </w:p>
        </w:tc>
        <w:tc>
          <w:tcPr>
            <w:tcW w:w="1695" w:type="dxa"/>
            <w:vAlign w:val="center"/>
            <w:textDirection w:val="lrTb"/>
            <w:noWrap/>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合同名称</w:t>
            </w:r>
            <w:r/>
          </w:p>
        </w:tc>
        <w:tc>
          <w:tcPr>
            <w:tcW w:w="1515" w:type="dxa"/>
            <w:vAlign w:val="center"/>
            <w:textDirection w:val="lrTb"/>
            <w:noWrap/>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签订时间</w:t>
            </w:r>
            <w:r/>
          </w:p>
        </w:tc>
        <w:tc>
          <w:tcPr>
            <w:tcW w:w="1840" w:type="dxa"/>
            <w:vAlign w:val="center"/>
            <w:textDirection w:val="lrTb"/>
            <w:noWrap/>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采购单位名称</w:t>
            </w:r>
            <w:r/>
          </w:p>
        </w:tc>
        <w:tc>
          <w:tcPr>
            <w:tcW w:w="3060" w:type="dxa"/>
            <w:vAlign w:val="center"/>
            <w:textDirection w:val="lrTb"/>
            <w:noWrap/>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采购单位联系人及电话</w:t>
            </w:r>
            <w:r/>
          </w:p>
        </w:tc>
        <w:tc>
          <w:tcPr>
            <w:tcW w:w="635" w:type="dxa"/>
            <w:vAlign w:val="center"/>
            <w:textDirection w:val="lrTb"/>
            <w:noWrap/>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备注</w:t>
            </w:r>
            <w:r/>
          </w:p>
        </w:tc>
      </w:tr>
      <w:tr>
        <w:trPr>
          <w:jc w:val="center"/>
          <w:trHeight w:val="753"/>
        </w:trPr>
        <w:tc>
          <w:tcPr>
            <w:tcW w:w="789" w:type="dxa"/>
            <w:vAlign w:val="center"/>
            <w:textDirection w:val="lrTb"/>
            <w:noWrap/>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695" w:type="dxa"/>
            <w:vAlign w:val="center"/>
            <w:textDirection w:val="lrTb"/>
            <w:noWrap/>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515" w:type="dxa"/>
            <w:vAlign w:val="center"/>
            <w:textDirection w:val="lrTb"/>
            <w:noWrap/>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840" w:type="dxa"/>
            <w:vAlign w:val="center"/>
            <w:textDirection w:val="lrTb"/>
            <w:noWrap/>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3060" w:type="dxa"/>
            <w:vAlign w:val="center"/>
            <w:textDirection w:val="lrTb"/>
            <w:noWrap/>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635" w:type="dxa"/>
            <w:vAlign w:val="center"/>
            <w:textDirection w:val="lrTb"/>
            <w:noWrap/>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753"/>
        </w:trPr>
        <w:tc>
          <w:tcPr>
            <w:tcW w:w="789" w:type="dxa"/>
            <w:vAlign w:val="center"/>
            <w:textDirection w:val="lrTb"/>
            <w:noWrap/>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695" w:type="dxa"/>
            <w:vAlign w:val="center"/>
            <w:textDirection w:val="lrTb"/>
            <w:noWrap/>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515" w:type="dxa"/>
            <w:vAlign w:val="center"/>
            <w:textDirection w:val="lrTb"/>
            <w:noWrap/>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840" w:type="dxa"/>
            <w:vAlign w:val="center"/>
            <w:textDirection w:val="lrTb"/>
            <w:noWrap/>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3060" w:type="dxa"/>
            <w:vAlign w:val="center"/>
            <w:textDirection w:val="lrTb"/>
            <w:noWrap/>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635" w:type="dxa"/>
            <w:vAlign w:val="center"/>
            <w:textDirection w:val="lrTb"/>
            <w:noWrap/>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753"/>
        </w:trPr>
        <w:tc>
          <w:tcPr>
            <w:tcW w:w="789" w:type="dxa"/>
            <w:vAlign w:val="center"/>
            <w:textDirection w:val="lrTb"/>
            <w:noWrap/>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695" w:type="dxa"/>
            <w:vAlign w:val="center"/>
            <w:textDirection w:val="lrTb"/>
            <w:noWrap/>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515" w:type="dxa"/>
            <w:vAlign w:val="center"/>
            <w:textDirection w:val="lrTb"/>
            <w:noWrap/>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840" w:type="dxa"/>
            <w:vAlign w:val="center"/>
            <w:textDirection w:val="lrTb"/>
            <w:noWrap/>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3060" w:type="dxa"/>
            <w:vAlign w:val="center"/>
            <w:textDirection w:val="lrTb"/>
            <w:noWrap/>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635" w:type="dxa"/>
            <w:vAlign w:val="center"/>
            <w:textDirection w:val="lrTb"/>
            <w:noWrap/>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753"/>
        </w:trPr>
        <w:tc>
          <w:tcPr>
            <w:tcW w:w="789" w:type="dxa"/>
            <w:vAlign w:val="center"/>
            <w:textDirection w:val="lrTb"/>
            <w:noWrap/>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695" w:type="dxa"/>
            <w:vAlign w:val="center"/>
            <w:textDirection w:val="lrTb"/>
            <w:noWrap/>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515" w:type="dxa"/>
            <w:vAlign w:val="center"/>
            <w:textDirection w:val="lrTb"/>
            <w:noWrap/>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840" w:type="dxa"/>
            <w:vAlign w:val="center"/>
            <w:textDirection w:val="lrTb"/>
            <w:noWrap/>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3060" w:type="dxa"/>
            <w:vAlign w:val="center"/>
            <w:textDirection w:val="lrTb"/>
            <w:noWrap/>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635" w:type="dxa"/>
            <w:vAlign w:val="center"/>
            <w:textDirection w:val="lrTb"/>
            <w:noWrap/>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753"/>
        </w:trPr>
        <w:tc>
          <w:tcPr>
            <w:tcW w:w="789" w:type="dxa"/>
            <w:vAlign w:val="center"/>
            <w:textDirection w:val="lrTb"/>
            <w:noWrap/>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695" w:type="dxa"/>
            <w:vAlign w:val="center"/>
            <w:textDirection w:val="lrTb"/>
            <w:noWrap/>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515" w:type="dxa"/>
            <w:vAlign w:val="center"/>
            <w:textDirection w:val="lrTb"/>
            <w:noWrap/>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840" w:type="dxa"/>
            <w:vAlign w:val="center"/>
            <w:textDirection w:val="lrTb"/>
            <w:noWrap/>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3060" w:type="dxa"/>
            <w:vAlign w:val="center"/>
            <w:textDirection w:val="lrTb"/>
            <w:noWrap/>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635" w:type="dxa"/>
            <w:vAlign w:val="center"/>
            <w:textDirection w:val="lrTb"/>
            <w:noWrap/>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753"/>
        </w:trPr>
        <w:tc>
          <w:tcPr>
            <w:tcW w:w="789" w:type="dxa"/>
            <w:vAlign w:val="center"/>
            <w:textDirection w:val="lrTb"/>
            <w:noWrap/>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695" w:type="dxa"/>
            <w:vAlign w:val="center"/>
            <w:textDirection w:val="lrTb"/>
            <w:noWrap/>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515" w:type="dxa"/>
            <w:vAlign w:val="center"/>
            <w:textDirection w:val="lrTb"/>
            <w:noWrap/>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840" w:type="dxa"/>
            <w:vAlign w:val="center"/>
            <w:textDirection w:val="lrTb"/>
            <w:noWrap/>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3060" w:type="dxa"/>
            <w:vAlign w:val="center"/>
            <w:textDirection w:val="lrTb"/>
            <w:noWrap/>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635" w:type="dxa"/>
            <w:vAlign w:val="center"/>
            <w:textDirection w:val="lrTb"/>
            <w:noWrap/>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753"/>
        </w:trPr>
        <w:tc>
          <w:tcPr>
            <w:tcW w:w="789" w:type="dxa"/>
            <w:vAlign w:val="center"/>
            <w:textDirection w:val="lrTb"/>
            <w:noWrap/>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695" w:type="dxa"/>
            <w:vAlign w:val="center"/>
            <w:textDirection w:val="lrTb"/>
            <w:noWrap/>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515" w:type="dxa"/>
            <w:vAlign w:val="center"/>
            <w:textDirection w:val="lrTb"/>
            <w:noWrap/>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840" w:type="dxa"/>
            <w:vAlign w:val="center"/>
            <w:textDirection w:val="lrTb"/>
            <w:noWrap/>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3060" w:type="dxa"/>
            <w:vAlign w:val="center"/>
            <w:textDirection w:val="lrTb"/>
            <w:noWrap/>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635" w:type="dxa"/>
            <w:vAlign w:val="center"/>
            <w:textDirection w:val="lrTb"/>
            <w:noWrap/>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753"/>
        </w:trPr>
        <w:tc>
          <w:tcPr>
            <w:tcW w:w="789" w:type="dxa"/>
            <w:vAlign w:val="center"/>
            <w:textDirection w:val="lrTb"/>
            <w:noWrap/>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695" w:type="dxa"/>
            <w:vAlign w:val="center"/>
            <w:textDirection w:val="lrTb"/>
            <w:noWrap/>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515" w:type="dxa"/>
            <w:vAlign w:val="center"/>
            <w:textDirection w:val="lrTb"/>
            <w:noWrap/>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840" w:type="dxa"/>
            <w:vAlign w:val="center"/>
            <w:textDirection w:val="lrTb"/>
            <w:noWrap/>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3060" w:type="dxa"/>
            <w:vAlign w:val="center"/>
            <w:textDirection w:val="lrTb"/>
            <w:noWrap/>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635" w:type="dxa"/>
            <w:vAlign w:val="center"/>
            <w:textDirection w:val="lrTb"/>
            <w:noWrap/>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753"/>
        </w:trPr>
        <w:tc>
          <w:tcPr>
            <w:tcW w:w="789" w:type="dxa"/>
            <w:vAlign w:val="center"/>
            <w:textDirection w:val="lrTb"/>
            <w:noWrap/>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695" w:type="dxa"/>
            <w:vAlign w:val="center"/>
            <w:textDirection w:val="lrTb"/>
            <w:noWrap/>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515" w:type="dxa"/>
            <w:vAlign w:val="center"/>
            <w:textDirection w:val="lrTb"/>
            <w:noWrap/>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840" w:type="dxa"/>
            <w:vAlign w:val="center"/>
            <w:textDirection w:val="lrTb"/>
            <w:noWrap/>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3060" w:type="dxa"/>
            <w:vAlign w:val="center"/>
            <w:textDirection w:val="lrTb"/>
            <w:noWrap/>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635" w:type="dxa"/>
            <w:vAlign w:val="center"/>
            <w:textDirection w:val="lrTb"/>
            <w:noWrap/>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772"/>
        </w:trPr>
        <w:tc>
          <w:tcPr>
            <w:tcW w:w="789" w:type="dxa"/>
            <w:vAlign w:val="center"/>
            <w:textDirection w:val="lrTb"/>
            <w:noWrap/>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695" w:type="dxa"/>
            <w:vAlign w:val="center"/>
            <w:textDirection w:val="lrTb"/>
            <w:noWrap/>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515" w:type="dxa"/>
            <w:vAlign w:val="center"/>
            <w:textDirection w:val="lrTb"/>
            <w:noWrap/>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840" w:type="dxa"/>
            <w:vAlign w:val="center"/>
            <w:textDirection w:val="lrTb"/>
            <w:noWrap/>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3060" w:type="dxa"/>
            <w:vAlign w:val="center"/>
            <w:textDirection w:val="lrTb"/>
            <w:noWrap/>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635" w:type="dxa"/>
            <w:vAlign w:val="center"/>
            <w:textDirection w:val="lrTb"/>
            <w:noWrap/>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bl>
    <w:p>
      <w:pPr>
        <w:spacing w:line="360" w:lineRule="auto"/>
        <w:rPr>
          <w:rFonts w:hint="eastAsia" w:ascii="宋体" w:hAnsi="宋体" w:eastAsia="宋体" w:cs="宋体"/>
          <w:bCs/>
          <w:color w:val="auto"/>
          <w:sz w:val="24"/>
          <w:highlight w:val="none"/>
        </w:rPr>
      </w:pPr>
      <w:r>
        <w:rPr>
          <w:rFonts w:hint="eastAsia" w:ascii="宋体" w:hAnsi="宋体" w:eastAsia="宋体" w:cs="宋体"/>
          <w:color w:val="auto"/>
          <w:sz w:val="24"/>
          <w:highlight w:val="none"/>
        </w:rPr>
        <w:t xml:space="preserve">后附：按评分标准要求提供类似合同供货业绩，表格不够自行添加。</w:t>
      </w:r>
      <w:r/>
    </w:p>
    <w:p>
      <w:pPr>
        <w:ind w:firstLine="504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ind w:firstLine="504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ind w:firstLine="504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磋商供应商（公章）：</w:t>
      </w:r>
      <w:r/>
    </w:p>
    <w:p>
      <w:pPr>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rPr>
        <w:t xml:space="preserve">                                          法定代表人或授权代表签字：</w:t>
      </w:r>
      <w:r/>
    </w:p>
    <w:p>
      <w:pP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                                          日期：年月日</w:t>
      </w:r>
      <w:r/>
    </w:p>
    <w:p>
      <w:pPr>
        <w:jc w:val="center"/>
        <w:spacing w:line="360" w:lineRule="auto"/>
        <w:rPr>
          <w:rFonts w:hint="eastAsia" w:ascii="宋体" w:hAnsi="宋体" w:eastAsia="宋体" w:cs="宋体"/>
          <w:b/>
          <w:color w:val="auto"/>
          <w:sz w:val="28"/>
          <w:szCs w:val="30"/>
          <w:highlight w:val="none"/>
        </w:rPr>
      </w:pPr>
      <w:r>
        <w:rPr>
          <w:rFonts w:hint="eastAsia" w:ascii="宋体" w:hAnsi="宋体" w:eastAsia="宋体" w:cs="宋体"/>
          <w:b/>
          <w:color w:val="auto"/>
          <w:sz w:val="28"/>
          <w:szCs w:val="30"/>
          <w:highlight w:val="none"/>
        </w:rPr>
      </w:r>
      <w:r/>
    </w:p>
    <w:p>
      <w:pPr>
        <w:spacing w:line="360" w:lineRule="auto"/>
        <w:rPr>
          <w:rFonts w:hint="eastAsia" w:ascii="宋体" w:hAnsi="宋体" w:eastAsia="宋体" w:cs="宋体"/>
          <w:b/>
          <w:color w:val="auto"/>
          <w:sz w:val="28"/>
          <w:szCs w:val="30"/>
          <w:highlight w:val="none"/>
        </w:rPr>
      </w:pPr>
      <w:r>
        <w:rPr>
          <w:rFonts w:hint="eastAsia" w:ascii="宋体" w:hAnsi="宋体" w:eastAsia="宋体" w:cs="宋体"/>
          <w:b/>
          <w:color w:val="auto"/>
          <w:sz w:val="28"/>
          <w:szCs w:val="30"/>
          <w:highlight w:val="none"/>
        </w:rPr>
      </w:r>
      <w:r/>
    </w:p>
    <w:p>
      <w:pPr>
        <w:pStyle w:val="732"/>
        <w:rPr>
          <w:rFonts w:hint="eastAsia" w:ascii="宋体" w:hAnsi="宋体" w:eastAsia="宋体" w:cs="宋体"/>
          <w:b/>
          <w:color w:val="auto"/>
          <w:sz w:val="28"/>
          <w:szCs w:val="30"/>
          <w:highlight w:val="none"/>
        </w:rPr>
      </w:pPr>
      <w:r>
        <w:rPr>
          <w:rFonts w:hint="eastAsia" w:ascii="宋体" w:hAnsi="宋体" w:eastAsia="宋体" w:cs="宋体"/>
          <w:b/>
          <w:color w:val="auto"/>
          <w:sz w:val="28"/>
          <w:szCs w:val="30"/>
          <w:highlight w:val="none"/>
        </w:rPr>
      </w:r>
      <w:r/>
    </w:p>
    <w:p>
      <w:pPr>
        <w:jc w:val="center"/>
        <w:spacing w:line="360" w:lineRule="auto"/>
        <w:rPr>
          <w:rFonts w:hint="eastAsia" w:ascii="宋体" w:hAnsi="宋体" w:eastAsia="宋体" w:cs="宋体"/>
          <w:b/>
          <w:bCs/>
          <w:color w:val="auto"/>
          <w:sz w:val="32"/>
          <w:szCs w:val="32"/>
          <w:highlight w:val="none"/>
        </w:rPr>
        <w:outlineLvl w:val="0"/>
      </w:pPr>
      <w:r>
        <w:rPr>
          <w:rFonts w:hint="eastAsia" w:ascii="宋体" w:hAnsi="宋体" w:eastAsia="宋体" w:cs="宋体"/>
          <w:b/>
          <w:bCs/>
          <w:color w:val="auto"/>
          <w:sz w:val="32"/>
          <w:szCs w:val="32"/>
          <w:highlight w:val="none"/>
        </w:rPr>
      </w:r>
      <w:r/>
    </w:p>
    <w:p>
      <w:pPr>
        <w:jc w:val="center"/>
        <w:spacing w:line="360" w:lineRule="auto"/>
        <w:rPr>
          <w:rFonts w:hint="eastAsia" w:ascii="宋体" w:hAnsi="宋体" w:eastAsia="宋体" w:cs="宋体"/>
          <w:b/>
          <w:bCs/>
          <w:color w:val="auto"/>
          <w:sz w:val="32"/>
          <w:szCs w:val="32"/>
          <w:highlight w:val="none"/>
        </w:rPr>
        <w:outlineLvl w:val="0"/>
      </w:pPr>
      <w:r>
        <w:rPr>
          <w:rFonts w:hint="eastAsia" w:ascii="宋体" w:hAnsi="宋体" w:eastAsia="宋体" w:cs="宋体"/>
          <w:b/>
          <w:bCs/>
          <w:color w:val="auto"/>
          <w:sz w:val="32"/>
          <w:szCs w:val="32"/>
          <w:highlight w:val="none"/>
        </w:rPr>
        <w:t xml:space="preserve">九、技术规格偏离表</w:t>
      </w:r>
      <w:r/>
    </w:p>
    <w:p>
      <w:pPr>
        <w:pStyle w:val="741"/>
        <w:ind w:firstLine="480"/>
        <w:jc w:val="left"/>
        <w:spacing w:line="360" w:lineRule="auto"/>
        <w:rPr>
          <w:rFonts w:hint="eastAsia" w:ascii="宋体" w:hAnsi="宋体" w:eastAsia="宋体" w:cs="宋体"/>
          <w:b/>
          <w:color w:val="auto"/>
          <w:sz w:val="36"/>
          <w:szCs w:val="28"/>
          <w:highlight w:val="none"/>
        </w:rPr>
      </w:pPr>
      <w:r>
        <w:rPr>
          <w:rFonts w:hint="eastAsia" w:ascii="宋体" w:hAnsi="宋体" w:eastAsia="宋体" w:cs="宋体"/>
          <w:color w:val="auto"/>
          <w:sz w:val="24"/>
          <w:szCs w:val="24"/>
          <w:highlight w:val="none"/>
        </w:rPr>
        <w:t xml:space="preserve">请按所投产品的实际技术参数，逐条对应磋商文件的“项目需求”中要求的技术规范认真填写该表。</w:t>
      </w:r>
      <w:r/>
    </w:p>
    <w:tbl>
      <w:tblPr>
        <w:tblStyle w:val="726"/>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407"/>
        <w:gridCol w:w="3570"/>
        <w:gridCol w:w="3570"/>
        <w:gridCol w:w="1409"/>
      </w:tblGrid>
      <w:tr>
        <w:trPr>
          <w:cantSplit/>
          <w:trHeight w:val="1062"/>
        </w:trPr>
        <w:tc>
          <w:tcPr>
            <w:tcW w:w="706" w:type="pct"/>
            <w:vAlign w:val="center"/>
            <w:textDirection w:val="lrTb"/>
            <w:noWrap/>
          </w:tcPr>
          <w:p>
            <w:pPr>
              <w:pStyle w:val="741"/>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货物名称</w:t>
            </w:r>
            <w:r/>
          </w:p>
        </w:tc>
        <w:tc>
          <w:tcPr>
            <w:tcW w:w="1792" w:type="pct"/>
            <w:vAlign w:val="center"/>
            <w:textDirection w:val="lrTb"/>
            <w:noWrap/>
          </w:tcPr>
          <w:p>
            <w:pPr>
              <w:pStyle w:val="741"/>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磋商文件技术参数要求</w:t>
            </w:r>
            <w:r/>
          </w:p>
        </w:tc>
        <w:tc>
          <w:tcPr>
            <w:tcW w:w="1792"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响应文件技术参数响应</w:t>
            </w:r>
            <w:r/>
          </w:p>
        </w:tc>
        <w:tc>
          <w:tcPr>
            <w:tcW w:w="707"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偏离说明</w:t>
            </w:r>
            <w:r/>
          </w:p>
        </w:tc>
      </w:tr>
      <w:tr>
        <w:trPr/>
        <w:tc>
          <w:tcPr>
            <w:tcW w:w="706" w:type="pct"/>
            <w:vAlign w:val="center"/>
            <w:textDirection w:val="lrTb"/>
            <w:noWrap/>
          </w:tcPr>
          <w:p>
            <w:pPr>
              <w:pStyle w:val="741"/>
              <w:ind w:firstLine="360"/>
              <w:jc w:val="center"/>
              <w:spacing w:line="60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W w:w="1792" w:type="pct"/>
            <w:vAlign w:val="center"/>
            <w:textDirection w:val="lrTb"/>
            <w:noWrap/>
          </w:tcPr>
          <w:p>
            <w:pPr>
              <w:pStyle w:val="741"/>
              <w:ind w:firstLine="360"/>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W w:w="1792" w:type="pct"/>
            <w:vAlign w:val="center"/>
            <w:textDirection w:val="lrTb"/>
            <w:noWrap/>
          </w:tcPr>
          <w:p>
            <w:pPr>
              <w:pStyle w:val="741"/>
              <w:ind w:firstLine="360"/>
              <w:jc w:val="center"/>
              <w:spacing w:line="60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W w:w="707" w:type="pct"/>
            <w:vAlign w:val="center"/>
            <w:textDirection w:val="lrTb"/>
            <w:noWrap/>
          </w:tcPr>
          <w:p>
            <w:pPr>
              <w:pStyle w:val="741"/>
              <w:ind w:firstLine="360"/>
              <w:jc w:val="center"/>
              <w:spacing w:line="60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tc>
          <w:tcPr>
            <w:tcW w:w="706" w:type="pct"/>
            <w:vAlign w:val="center"/>
            <w:textDirection w:val="lrTb"/>
            <w:noWrap/>
          </w:tcPr>
          <w:p>
            <w:pPr>
              <w:pStyle w:val="741"/>
              <w:ind w:firstLine="360"/>
              <w:jc w:val="center"/>
              <w:spacing w:line="60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W w:w="1792" w:type="pct"/>
            <w:vAlign w:val="center"/>
            <w:textDirection w:val="lrTb"/>
            <w:noWrap/>
          </w:tcPr>
          <w:p>
            <w:pPr>
              <w:pStyle w:val="741"/>
              <w:ind w:firstLine="360"/>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W w:w="1792" w:type="pct"/>
            <w:vAlign w:val="center"/>
            <w:textDirection w:val="lrTb"/>
            <w:noWrap/>
          </w:tcPr>
          <w:p>
            <w:pPr>
              <w:pStyle w:val="741"/>
              <w:ind w:firstLine="360"/>
              <w:jc w:val="center"/>
              <w:spacing w:line="60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W w:w="707" w:type="pct"/>
            <w:vAlign w:val="center"/>
            <w:textDirection w:val="lrTb"/>
            <w:noWrap/>
          </w:tcPr>
          <w:p>
            <w:pPr>
              <w:pStyle w:val="741"/>
              <w:ind w:firstLine="360"/>
              <w:jc w:val="center"/>
              <w:spacing w:line="60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tc>
          <w:tcPr>
            <w:tcW w:w="706" w:type="pct"/>
            <w:vAlign w:val="center"/>
            <w:textDirection w:val="lrTb"/>
            <w:noWrap/>
          </w:tcPr>
          <w:p>
            <w:pPr>
              <w:pStyle w:val="741"/>
              <w:ind w:firstLine="360"/>
              <w:jc w:val="center"/>
              <w:spacing w:line="60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W w:w="1792" w:type="pct"/>
            <w:vAlign w:val="center"/>
            <w:textDirection w:val="lrTb"/>
            <w:noWrap/>
          </w:tcPr>
          <w:p>
            <w:pPr>
              <w:pStyle w:val="741"/>
              <w:ind w:firstLine="360"/>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W w:w="1792" w:type="pct"/>
            <w:vAlign w:val="center"/>
            <w:textDirection w:val="lrTb"/>
            <w:noWrap/>
          </w:tcPr>
          <w:p>
            <w:pPr>
              <w:pStyle w:val="741"/>
              <w:ind w:firstLine="360"/>
              <w:jc w:val="center"/>
              <w:spacing w:line="60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W w:w="707" w:type="pct"/>
            <w:vAlign w:val="center"/>
            <w:textDirection w:val="lrTb"/>
            <w:noWrap/>
          </w:tcPr>
          <w:p>
            <w:pPr>
              <w:pStyle w:val="741"/>
              <w:ind w:firstLine="360"/>
              <w:jc w:val="center"/>
              <w:spacing w:line="60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tc>
          <w:tcPr>
            <w:tcW w:w="706" w:type="pct"/>
            <w:vAlign w:val="center"/>
            <w:textDirection w:val="lrTb"/>
            <w:noWrap/>
          </w:tcPr>
          <w:p>
            <w:pPr>
              <w:pStyle w:val="741"/>
              <w:ind w:firstLine="360"/>
              <w:jc w:val="center"/>
              <w:spacing w:line="60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W w:w="1792" w:type="pct"/>
            <w:vAlign w:val="center"/>
            <w:textDirection w:val="lrTb"/>
            <w:noWrap/>
          </w:tcPr>
          <w:p>
            <w:pPr>
              <w:pStyle w:val="741"/>
              <w:ind w:firstLine="360"/>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W w:w="1792" w:type="pct"/>
            <w:vAlign w:val="center"/>
            <w:textDirection w:val="lrTb"/>
            <w:noWrap/>
          </w:tcPr>
          <w:p>
            <w:pPr>
              <w:pStyle w:val="741"/>
              <w:ind w:firstLine="360"/>
              <w:jc w:val="center"/>
              <w:spacing w:line="60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W w:w="707" w:type="pct"/>
            <w:vAlign w:val="center"/>
            <w:textDirection w:val="lrTb"/>
            <w:noWrap/>
          </w:tcPr>
          <w:p>
            <w:pPr>
              <w:pStyle w:val="741"/>
              <w:ind w:firstLine="360"/>
              <w:jc w:val="center"/>
              <w:spacing w:line="60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tc>
          <w:tcPr>
            <w:tcW w:w="706" w:type="pct"/>
            <w:vAlign w:val="center"/>
            <w:textDirection w:val="lrTb"/>
            <w:noWrap/>
          </w:tcPr>
          <w:p>
            <w:pPr>
              <w:pStyle w:val="741"/>
              <w:ind w:firstLine="360"/>
              <w:jc w:val="center"/>
              <w:spacing w:line="60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W w:w="1792" w:type="pct"/>
            <w:vAlign w:val="center"/>
            <w:textDirection w:val="lrTb"/>
            <w:noWrap/>
          </w:tcPr>
          <w:p>
            <w:pPr>
              <w:pStyle w:val="741"/>
              <w:ind w:firstLine="360"/>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W w:w="1792" w:type="pct"/>
            <w:vAlign w:val="center"/>
            <w:textDirection w:val="lrTb"/>
            <w:noWrap/>
          </w:tcPr>
          <w:p>
            <w:pPr>
              <w:pStyle w:val="741"/>
              <w:ind w:firstLine="360"/>
              <w:jc w:val="center"/>
              <w:spacing w:line="60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W w:w="707" w:type="pct"/>
            <w:vAlign w:val="center"/>
            <w:textDirection w:val="lrTb"/>
            <w:noWrap/>
          </w:tcPr>
          <w:p>
            <w:pPr>
              <w:pStyle w:val="741"/>
              <w:ind w:firstLine="360"/>
              <w:jc w:val="center"/>
              <w:spacing w:line="60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tc>
          <w:tcPr>
            <w:tcW w:w="706" w:type="pct"/>
            <w:vAlign w:val="center"/>
            <w:textDirection w:val="lrTb"/>
            <w:noWrap/>
          </w:tcPr>
          <w:p>
            <w:pPr>
              <w:pStyle w:val="741"/>
              <w:ind w:firstLine="360"/>
              <w:jc w:val="center"/>
              <w:spacing w:line="60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W w:w="1792" w:type="pct"/>
            <w:vAlign w:val="center"/>
            <w:textDirection w:val="lrTb"/>
            <w:noWrap/>
          </w:tcPr>
          <w:p>
            <w:pPr>
              <w:pStyle w:val="741"/>
              <w:ind w:firstLine="360"/>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W w:w="1792" w:type="pct"/>
            <w:vAlign w:val="center"/>
            <w:textDirection w:val="lrTb"/>
            <w:noWrap/>
          </w:tcPr>
          <w:p>
            <w:pPr>
              <w:pStyle w:val="741"/>
              <w:ind w:firstLine="360"/>
              <w:jc w:val="center"/>
              <w:spacing w:line="60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W w:w="707" w:type="pct"/>
            <w:vAlign w:val="center"/>
            <w:textDirection w:val="lrTb"/>
            <w:noWrap/>
          </w:tcPr>
          <w:p>
            <w:pPr>
              <w:pStyle w:val="741"/>
              <w:ind w:firstLine="360"/>
              <w:jc w:val="center"/>
              <w:spacing w:line="60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tc>
          <w:tcPr>
            <w:tcW w:w="706" w:type="pct"/>
            <w:vAlign w:val="center"/>
            <w:textDirection w:val="lrTb"/>
            <w:noWrap/>
          </w:tcPr>
          <w:p>
            <w:pPr>
              <w:pStyle w:val="741"/>
              <w:ind w:firstLine="360"/>
              <w:jc w:val="center"/>
              <w:spacing w:line="60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W w:w="1792" w:type="pct"/>
            <w:vAlign w:val="center"/>
            <w:textDirection w:val="lrTb"/>
            <w:noWrap/>
          </w:tcPr>
          <w:p>
            <w:pPr>
              <w:pStyle w:val="741"/>
              <w:ind w:firstLine="360"/>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W w:w="1792" w:type="pct"/>
            <w:vAlign w:val="center"/>
            <w:textDirection w:val="lrTb"/>
            <w:noWrap/>
          </w:tcPr>
          <w:p>
            <w:pPr>
              <w:pStyle w:val="741"/>
              <w:ind w:firstLine="360"/>
              <w:jc w:val="center"/>
              <w:spacing w:line="60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W w:w="707" w:type="pct"/>
            <w:vAlign w:val="center"/>
            <w:textDirection w:val="lrTb"/>
            <w:noWrap/>
          </w:tcPr>
          <w:p>
            <w:pPr>
              <w:pStyle w:val="741"/>
              <w:ind w:firstLine="360"/>
              <w:jc w:val="center"/>
              <w:spacing w:line="60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tc>
          <w:tcPr>
            <w:tcW w:w="706" w:type="pct"/>
            <w:vAlign w:val="center"/>
            <w:textDirection w:val="lrTb"/>
            <w:noWrap/>
          </w:tcPr>
          <w:p>
            <w:pPr>
              <w:pStyle w:val="741"/>
              <w:ind w:firstLine="360"/>
              <w:jc w:val="center"/>
              <w:spacing w:line="60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W w:w="1792" w:type="pct"/>
            <w:vAlign w:val="center"/>
            <w:textDirection w:val="lrTb"/>
            <w:noWrap/>
          </w:tcPr>
          <w:p>
            <w:pPr>
              <w:pStyle w:val="741"/>
              <w:ind w:firstLine="360"/>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W w:w="1792" w:type="pct"/>
            <w:vAlign w:val="center"/>
            <w:textDirection w:val="lrTb"/>
            <w:noWrap/>
          </w:tcPr>
          <w:p>
            <w:pPr>
              <w:pStyle w:val="741"/>
              <w:ind w:firstLine="360"/>
              <w:jc w:val="center"/>
              <w:spacing w:line="60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W w:w="707" w:type="pct"/>
            <w:vAlign w:val="center"/>
            <w:textDirection w:val="lrTb"/>
            <w:noWrap/>
          </w:tcPr>
          <w:p>
            <w:pPr>
              <w:pStyle w:val="741"/>
              <w:ind w:firstLine="360"/>
              <w:jc w:val="center"/>
              <w:spacing w:line="60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tc>
          <w:tcPr>
            <w:tcW w:w="706" w:type="pct"/>
            <w:vAlign w:val="center"/>
            <w:textDirection w:val="lrTb"/>
            <w:noWrap/>
          </w:tcPr>
          <w:p>
            <w:pPr>
              <w:pStyle w:val="741"/>
              <w:ind w:firstLine="360"/>
              <w:jc w:val="center"/>
              <w:spacing w:line="60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W w:w="1792" w:type="pct"/>
            <w:vAlign w:val="center"/>
            <w:textDirection w:val="lrTb"/>
            <w:noWrap/>
          </w:tcPr>
          <w:p>
            <w:pPr>
              <w:pStyle w:val="741"/>
              <w:ind w:firstLine="360"/>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W w:w="1792" w:type="pct"/>
            <w:vAlign w:val="center"/>
            <w:textDirection w:val="lrTb"/>
            <w:noWrap/>
          </w:tcPr>
          <w:p>
            <w:pPr>
              <w:pStyle w:val="741"/>
              <w:ind w:firstLine="360"/>
              <w:jc w:val="center"/>
              <w:spacing w:line="60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W w:w="707" w:type="pct"/>
            <w:vAlign w:val="center"/>
            <w:textDirection w:val="lrTb"/>
            <w:noWrap/>
          </w:tcPr>
          <w:p>
            <w:pPr>
              <w:pStyle w:val="741"/>
              <w:ind w:firstLine="360"/>
              <w:jc w:val="center"/>
              <w:spacing w:line="60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tc>
          <w:tcPr>
            <w:tcW w:w="706" w:type="pct"/>
            <w:vAlign w:val="center"/>
            <w:textDirection w:val="lrTb"/>
            <w:noWrap/>
          </w:tcPr>
          <w:p>
            <w:pPr>
              <w:pStyle w:val="741"/>
              <w:ind w:firstLine="360"/>
              <w:jc w:val="center"/>
              <w:spacing w:line="60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W w:w="1792" w:type="pct"/>
            <w:vAlign w:val="center"/>
            <w:textDirection w:val="lrTb"/>
            <w:noWrap/>
          </w:tcPr>
          <w:p>
            <w:pPr>
              <w:pStyle w:val="741"/>
              <w:ind w:firstLine="360"/>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W w:w="1792" w:type="pct"/>
            <w:vAlign w:val="center"/>
            <w:textDirection w:val="lrTb"/>
            <w:noWrap/>
          </w:tcPr>
          <w:p>
            <w:pPr>
              <w:pStyle w:val="741"/>
              <w:ind w:firstLine="360"/>
              <w:jc w:val="center"/>
              <w:spacing w:line="60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W w:w="707" w:type="pct"/>
            <w:vAlign w:val="center"/>
            <w:textDirection w:val="lrTb"/>
            <w:noWrap/>
          </w:tcPr>
          <w:p>
            <w:pPr>
              <w:pStyle w:val="741"/>
              <w:ind w:firstLine="360"/>
              <w:jc w:val="center"/>
              <w:spacing w:line="60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bl>
    <w:p>
      <w:pPr>
        <w:pStyle w:val="741"/>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注：“偏离说明”填写“正偏离”“负偏离”或“无偏离”。</w:t>
      </w:r>
      <w:r/>
    </w:p>
    <w:p>
      <w:pPr>
        <w:pStyle w:val="732"/>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ind w:firstLine="5040"/>
        <w:spacing w:line="560" w:lineRule="exact"/>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rPr>
        <w:t xml:space="preserve">供应商（公章）：</w:t>
      </w:r>
      <w:r/>
    </w:p>
    <w:p>
      <w:pPr>
        <w:spacing w:line="5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                                          法定代表人或授权代表签字：______</w:t>
      </w:r>
      <w:r/>
    </w:p>
    <w:p>
      <w:pPr>
        <w:spacing w:line="5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                                          日期：______年月日</w:t>
      </w:r>
      <w:r/>
    </w:p>
    <w:p>
      <w:pPr>
        <w:pStyle w:val="941"/>
        <w:spacing w:line="360" w:lineRule="auto"/>
        <w:rPr>
          <w:rFonts w:hint="eastAsia" w:ascii="宋体" w:hAnsi="宋体" w:eastAsia="宋体" w:cs="宋体"/>
          <w:b/>
          <w:color w:val="auto"/>
          <w:sz w:val="28"/>
          <w:szCs w:val="30"/>
          <w:highlight w:val="none"/>
        </w:rPr>
      </w:pPr>
      <w:r>
        <w:rPr>
          <w:rFonts w:hint="eastAsia" w:ascii="宋体" w:hAnsi="宋体" w:eastAsia="宋体" w:cs="宋体"/>
          <w:b/>
          <w:color w:val="auto"/>
          <w:sz w:val="28"/>
          <w:szCs w:val="30"/>
          <w:highlight w:val="none"/>
        </w:rPr>
      </w:r>
      <w:r/>
    </w:p>
    <w:p>
      <w:pPr>
        <w:pStyle w:val="941"/>
        <w:spacing w:line="360" w:lineRule="auto"/>
        <w:rPr>
          <w:rFonts w:hint="eastAsia" w:ascii="宋体" w:hAnsi="宋体" w:eastAsia="宋体" w:cs="宋体"/>
          <w:b/>
          <w:color w:val="auto"/>
          <w:sz w:val="28"/>
          <w:szCs w:val="30"/>
          <w:highlight w:val="none"/>
        </w:rPr>
      </w:pPr>
      <w:r>
        <w:rPr>
          <w:rFonts w:hint="eastAsia" w:ascii="宋体" w:hAnsi="宋体" w:eastAsia="宋体" w:cs="宋体"/>
          <w:b/>
          <w:color w:val="auto"/>
          <w:sz w:val="28"/>
          <w:szCs w:val="30"/>
          <w:highlight w:val="none"/>
        </w:rPr>
      </w:r>
      <w:r/>
    </w:p>
    <w:p>
      <w:pPr>
        <w:pStyle w:val="941"/>
        <w:spacing w:line="360" w:lineRule="auto"/>
        <w:rPr>
          <w:rFonts w:hint="eastAsia" w:ascii="宋体" w:hAnsi="宋体" w:eastAsia="宋体" w:cs="宋体"/>
          <w:b/>
          <w:color w:val="auto"/>
          <w:sz w:val="28"/>
          <w:szCs w:val="30"/>
          <w:highlight w:val="none"/>
        </w:rPr>
      </w:pPr>
      <w:r>
        <w:rPr>
          <w:rFonts w:hint="eastAsia" w:ascii="宋体" w:hAnsi="宋体" w:eastAsia="宋体" w:cs="宋体"/>
          <w:b/>
          <w:color w:val="auto"/>
          <w:sz w:val="28"/>
          <w:szCs w:val="30"/>
          <w:highlight w:val="none"/>
        </w:rPr>
      </w:r>
      <w:r/>
    </w:p>
    <w:p>
      <w:pPr>
        <w:pStyle w:val="941"/>
        <w:spacing w:line="360" w:lineRule="auto"/>
        <w:rPr>
          <w:rFonts w:hint="eastAsia" w:ascii="宋体" w:hAnsi="宋体" w:eastAsia="宋体" w:cs="宋体"/>
          <w:b/>
          <w:color w:val="auto"/>
          <w:sz w:val="28"/>
          <w:szCs w:val="30"/>
          <w:highlight w:val="none"/>
        </w:rPr>
      </w:pPr>
      <w:r>
        <w:rPr>
          <w:rFonts w:hint="eastAsia" w:ascii="宋体" w:hAnsi="宋体" w:eastAsia="宋体" w:cs="宋体"/>
          <w:b/>
          <w:color w:val="auto"/>
          <w:sz w:val="28"/>
          <w:szCs w:val="30"/>
          <w:highlight w:val="none"/>
        </w:rPr>
      </w:r>
      <w:r/>
    </w:p>
    <w:p>
      <w:pPr>
        <w:pStyle w:val="941"/>
        <w:spacing w:line="360" w:lineRule="auto"/>
        <w:rPr>
          <w:rFonts w:hint="eastAsia" w:ascii="宋体" w:hAnsi="宋体" w:eastAsia="宋体" w:cs="宋体"/>
          <w:b/>
          <w:color w:val="auto"/>
          <w:sz w:val="28"/>
          <w:szCs w:val="30"/>
          <w:highlight w:val="none"/>
        </w:rPr>
      </w:pPr>
      <w:r>
        <w:rPr>
          <w:rFonts w:hint="eastAsia" w:ascii="宋体" w:hAnsi="宋体" w:eastAsia="宋体" w:cs="宋体"/>
          <w:b/>
          <w:color w:val="auto"/>
          <w:sz w:val="28"/>
          <w:szCs w:val="30"/>
          <w:highlight w:val="none"/>
        </w:rPr>
      </w:r>
      <w:r/>
    </w:p>
    <w:p>
      <w:pPr>
        <w:jc w:val="center"/>
        <w:spacing w:line="360" w:lineRule="auto"/>
        <w:rPr>
          <w:rFonts w:hint="eastAsia" w:ascii="宋体" w:hAnsi="宋体" w:eastAsia="宋体" w:cs="宋体"/>
          <w:b/>
          <w:bCs/>
          <w:color w:val="auto"/>
          <w:sz w:val="32"/>
          <w:szCs w:val="32"/>
          <w:highlight w:val="none"/>
        </w:rPr>
        <w:outlineLvl w:val="0"/>
      </w:pPr>
      <w:r>
        <w:rPr>
          <w:rFonts w:hint="eastAsia" w:ascii="宋体" w:hAnsi="宋体" w:eastAsia="宋体" w:cs="宋体"/>
          <w:b/>
          <w:bCs/>
          <w:color w:val="auto"/>
          <w:sz w:val="32"/>
          <w:szCs w:val="32"/>
          <w:highlight w:val="none"/>
        </w:rPr>
        <w:t xml:space="preserve">十、售后服务承诺</w:t>
      </w:r>
      <w:r/>
    </w:p>
    <w:p>
      <w:pPr>
        <w:pStyle w:val="734"/>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（格式自拟）</w:t>
      </w:r>
      <w:r/>
    </w:p>
    <w:p>
      <w:pPr>
        <w:jc w:val="center"/>
        <w:spacing w:line="360" w:lineRule="auto"/>
        <w:rPr>
          <w:rFonts w:hint="eastAsia" w:ascii="宋体" w:hAnsi="宋体" w:eastAsia="宋体" w:cs="宋体"/>
          <w:b/>
          <w:bCs/>
          <w:color w:val="auto"/>
          <w:sz w:val="32"/>
          <w:szCs w:val="32"/>
          <w:highlight w:val="none"/>
        </w:rPr>
        <w:outlineLvl w:val="0"/>
      </w:pPr>
      <w:r>
        <w:rPr>
          <w:rFonts w:hint="eastAsia" w:ascii="宋体" w:hAnsi="宋体" w:eastAsia="宋体" w:cs="宋体"/>
          <w:b/>
          <w:bCs/>
          <w:color w:val="auto"/>
          <w:sz w:val="32"/>
          <w:szCs w:val="32"/>
          <w:highlight w:val="none"/>
        </w:rPr>
      </w:r>
      <w:r/>
    </w:p>
    <w:p>
      <w:pPr>
        <w:pStyle w:val="734"/>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734"/>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734"/>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5040"/>
        <w:spacing w:line="560" w:lineRule="exact"/>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rPr>
        <w:t xml:space="preserve">供应商（公章）：</w:t>
      </w:r>
      <w:r/>
    </w:p>
    <w:p>
      <w:pPr>
        <w:spacing w:line="5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                                          法定代表人或授权代表签字：_____</w:t>
      </w:r>
      <w:r/>
    </w:p>
    <w:p>
      <w:pPr>
        <w:spacing w:line="5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                                          日期：_____年月日</w:t>
      </w:r>
      <w:r/>
    </w:p>
    <w:p>
      <w:pPr>
        <w:jc w:val="center"/>
        <w:spacing w:line="360" w:lineRule="auto"/>
        <w:rPr>
          <w:rFonts w:hint="eastAsia" w:ascii="宋体" w:hAnsi="宋体" w:eastAsia="宋体" w:cs="宋体"/>
          <w:b/>
          <w:bCs/>
          <w:color w:val="auto"/>
          <w:sz w:val="32"/>
          <w:szCs w:val="32"/>
          <w:highlight w:val="none"/>
        </w:rPr>
        <w:outlineLvl w:val="0"/>
      </w:pPr>
      <w:r>
        <w:rPr>
          <w:rFonts w:hint="eastAsia" w:ascii="宋体" w:hAnsi="宋体" w:eastAsia="宋体" w:cs="宋体"/>
          <w:b/>
          <w:bCs/>
          <w:color w:val="auto"/>
          <w:sz w:val="32"/>
          <w:szCs w:val="32"/>
          <w:highlight w:val="none"/>
        </w:rPr>
      </w:r>
      <w:r/>
    </w:p>
    <w:p>
      <w:pPr>
        <w:pStyle w:val="734"/>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734"/>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734"/>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734"/>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734"/>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734"/>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line="360" w:lineRule="auto"/>
        <w:rPr>
          <w:rFonts w:hint="eastAsia" w:ascii="宋体" w:hAnsi="宋体" w:eastAsia="宋体" w:cs="宋体"/>
          <w:b/>
          <w:bCs/>
          <w:color w:val="auto"/>
          <w:sz w:val="32"/>
          <w:szCs w:val="32"/>
          <w:highlight w:val="none"/>
        </w:rPr>
        <w:outlineLvl w:val="0"/>
      </w:pPr>
      <w:r>
        <w:rPr>
          <w:rFonts w:hint="eastAsia" w:ascii="宋体" w:hAnsi="宋体" w:eastAsia="宋体" w:cs="宋体"/>
          <w:b/>
          <w:bCs/>
          <w:color w:val="auto"/>
          <w:sz w:val="32"/>
          <w:szCs w:val="32"/>
          <w:highlight w:val="none"/>
        </w:rPr>
      </w:r>
      <w:r/>
    </w:p>
    <w:p>
      <w:pPr>
        <w:jc w:val="center"/>
        <w:spacing w:line="360" w:lineRule="auto"/>
        <w:rPr>
          <w:rFonts w:hint="eastAsia" w:ascii="宋体" w:hAnsi="宋体" w:eastAsia="宋体" w:cs="宋体"/>
          <w:b/>
          <w:bCs/>
          <w:color w:val="auto"/>
          <w:sz w:val="32"/>
          <w:szCs w:val="32"/>
          <w:highlight w:val="none"/>
        </w:rPr>
        <w:outlineLvl w:val="0"/>
      </w:pPr>
      <w:r>
        <w:rPr>
          <w:rFonts w:hint="eastAsia" w:ascii="宋体" w:hAnsi="宋体" w:eastAsia="宋体" w:cs="宋体"/>
          <w:b/>
          <w:bCs/>
          <w:color w:val="auto"/>
          <w:sz w:val="32"/>
          <w:szCs w:val="32"/>
          <w:highlight w:val="none"/>
        </w:rPr>
      </w:r>
      <w:r/>
    </w:p>
    <w:p>
      <w:pPr>
        <w:jc w:val="center"/>
        <w:spacing w:line="360" w:lineRule="auto"/>
        <w:rPr>
          <w:rFonts w:hint="eastAsia" w:ascii="宋体" w:hAnsi="宋体" w:eastAsia="宋体" w:cs="宋体"/>
          <w:b/>
          <w:bCs/>
          <w:color w:val="auto"/>
          <w:sz w:val="32"/>
          <w:szCs w:val="32"/>
          <w:highlight w:val="none"/>
        </w:rPr>
        <w:outlineLvl w:val="0"/>
      </w:pPr>
      <w:r>
        <w:rPr>
          <w:rFonts w:hint="eastAsia" w:ascii="宋体" w:hAnsi="宋体" w:eastAsia="宋体" w:cs="宋体"/>
          <w:b/>
          <w:bCs/>
          <w:color w:val="auto"/>
          <w:sz w:val="32"/>
          <w:szCs w:val="32"/>
          <w:highlight w:val="none"/>
        </w:rPr>
      </w:r>
      <w:r/>
    </w:p>
    <w:p>
      <w:pPr>
        <w:jc w:val="center"/>
        <w:spacing w:line="360" w:lineRule="auto"/>
        <w:rPr>
          <w:rFonts w:hint="eastAsia" w:ascii="宋体" w:hAnsi="宋体" w:eastAsia="宋体" w:cs="宋体"/>
          <w:b/>
          <w:bCs/>
          <w:color w:val="auto"/>
          <w:sz w:val="32"/>
          <w:szCs w:val="32"/>
          <w:highlight w:val="none"/>
        </w:rPr>
        <w:outlineLvl w:val="0"/>
      </w:pPr>
      <w:r>
        <w:rPr>
          <w:rFonts w:hint="eastAsia" w:ascii="宋体" w:hAnsi="宋体" w:eastAsia="宋体" w:cs="宋体"/>
          <w:b/>
          <w:bCs/>
          <w:color w:val="auto"/>
          <w:sz w:val="32"/>
          <w:szCs w:val="32"/>
          <w:highlight w:val="none"/>
        </w:rPr>
      </w:r>
      <w:r/>
    </w:p>
    <w:p>
      <w:pPr>
        <w:jc w:val="center"/>
        <w:spacing w:line="360" w:lineRule="auto"/>
        <w:rPr>
          <w:rFonts w:hint="eastAsia" w:ascii="宋体" w:hAnsi="宋体" w:eastAsia="宋体" w:cs="宋体"/>
          <w:b/>
          <w:bCs/>
          <w:color w:val="auto"/>
          <w:sz w:val="32"/>
          <w:szCs w:val="32"/>
          <w:highlight w:val="none"/>
        </w:rPr>
        <w:outlineLvl w:val="0"/>
      </w:pPr>
      <w:r>
        <w:rPr>
          <w:rFonts w:hint="eastAsia" w:ascii="宋体" w:hAnsi="宋体" w:eastAsia="宋体" w:cs="宋体"/>
          <w:b/>
          <w:bCs/>
          <w:color w:val="auto"/>
          <w:sz w:val="32"/>
          <w:szCs w:val="32"/>
          <w:highlight w:val="none"/>
        </w:rPr>
      </w:r>
      <w:r/>
    </w:p>
    <w:p>
      <w:pPr>
        <w:jc w:val="center"/>
        <w:spacing w:line="360" w:lineRule="auto"/>
        <w:rPr>
          <w:rFonts w:hint="eastAsia" w:ascii="宋体" w:hAnsi="宋体" w:eastAsia="宋体" w:cs="宋体"/>
          <w:b/>
          <w:color w:val="auto"/>
          <w:sz w:val="32"/>
          <w:szCs w:val="32"/>
          <w:highlight w:val="none"/>
        </w:rPr>
        <w:outlineLvl w:val="0"/>
      </w:pPr>
      <w:r>
        <w:rPr>
          <w:rFonts w:hint="eastAsia" w:ascii="宋体" w:hAnsi="宋体" w:eastAsia="宋体" w:cs="宋体"/>
          <w:b/>
          <w:bCs/>
          <w:color w:val="auto"/>
          <w:sz w:val="32"/>
          <w:szCs w:val="32"/>
          <w:highlight w:val="none"/>
        </w:rPr>
        <w:t xml:space="preserve">十一、项目需求响应方案</w:t>
      </w:r>
      <w:r/>
    </w:p>
    <w:p>
      <w:pPr>
        <w:jc w:val="center"/>
        <w:spacing w:line="288"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（供应商按“项目需求”等内容要求自行填写）</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716"/>
        <w:rPr>
          <w:rFonts w:hint="eastAsia" w:ascii="宋体" w:hAnsi="宋体" w:eastAsia="宋体" w:cs="宋体"/>
          <w:color w:val="auto"/>
          <w:highlight w:val="none"/>
        </w:rPr>
      </w:pPr>
      <w:r>
        <w:rPr>
          <w:rFonts w:hint="eastAsia" w:ascii="宋体" w:hAnsi="宋体" w:eastAsia="宋体" w:cs="宋体"/>
          <w:color w:val="auto"/>
          <w:highlight w:val="none"/>
        </w:rPr>
      </w:r>
      <w:r/>
    </w:p>
    <w:p>
      <w:pPr>
        <w:pStyle w:val="743"/>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标段名称：</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标段编号： </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504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磋商供应商（公章）：</w:t>
      </w:r>
      <w:r/>
    </w:p>
    <w:p>
      <w:pPr>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rPr>
        <w:t xml:space="preserve">                                          法定代表人或授权代表签字：</w:t>
      </w:r>
      <w:r/>
    </w:p>
    <w:p>
      <w:pP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                                          日期：年月日</w:t>
      </w:r>
      <w:r/>
    </w:p>
    <w:p>
      <w:pPr>
        <w:spacing w:line="360" w:lineRule="auto"/>
        <w:rPr>
          <w:rFonts w:hint="eastAsia" w:ascii="宋体" w:hAnsi="宋体" w:eastAsia="宋体" w:cs="宋体"/>
          <w:b/>
          <w:color w:val="auto"/>
          <w:sz w:val="28"/>
          <w:szCs w:val="30"/>
          <w:highlight w:val="none"/>
        </w:rPr>
      </w:pPr>
      <w:r>
        <w:rPr>
          <w:rFonts w:hint="eastAsia" w:ascii="宋体" w:hAnsi="宋体" w:eastAsia="宋体" w:cs="宋体"/>
          <w:b/>
          <w:color w:val="auto"/>
          <w:sz w:val="28"/>
          <w:szCs w:val="30"/>
          <w:highlight w:val="none"/>
        </w:rPr>
      </w:r>
      <w:r/>
    </w:p>
    <w:p>
      <w:pPr>
        <w:pStyle w:val="1001"/>
        <w:rPr>
          <w:rFonts w:hint="eastAsia" w:ascii="宋体" w:hAnsi="宋体" w:eastAsia="宋体" w:cs="宋体"/>
          <w:color w:val="auto"/>
          <w:highlight w:val="none"/>
        </w:rPr>
      </w:pPr>
      <w:r>
        <w:rPr>
          <w:rFonts w:hint="eastAsia" w:ascii="宋体" w:hAnsi="宋体" w:eastAsia="宋体" w:cs="宋体"/>
          <w:color w:val="auto"/>
          <w:highlight w:val="none"/>
        </w:rPr>
      </w:r>
      <w:r/>
    </w:p>
    <w:p>
      <w:pPr>
        <w:pStyle w:val="734"/>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line="360" w:lineRule="auto"/>
        <w:rPr>
          <w:rFonts w:hint="eastAsia" w:ascii="宋体" w:hAnsi="宋体" w:eastAsia="宋体" w:cs="宋体"/>
          <w:b/>
          <w:bCs/>
          <w:color w:val="auto"/>
          <w:sz w:val="32"/>
          <w:szCs w:val="32"/>
          <w:highlight w:val="none"/>
        </w:rPr>
        <w:outlineLvl w:val="0"/>
      </w:pPr>
      <w:r/>
      <w:bookmarkStart w:id="249" w:name="_Toc11507"/>
      <w:r/>
      <w:bookmarkStart w:id="250" w:name="_Toc24229"/>
      <w:r/>
      <w:bookmarkStart w:id="251" w:name="_Toc7264"/>
      <w:r>
        <w:rPr>
          <w:rFonts w:hint="eastAsia" w:ascii="宋体" w:hAnsi="宋体" w:eastAsia="宋体" w:cs="宋体"/>
          <w:b/>
          <w:bCs/>
          <w:color w:val="auto"/>
          <w:sz w:val="32"/>
          <w:szCs w:val="32"/>
          <w:highlight w:val="none"/>
        </w:rPr>
        <w:t xml:space="preserve">十二、其他材料</w:t>
      </w:r>
      <w:bookmarkEnd w:id="249"/>
      <w:r/>
      <w:bookmarkEnd w:id="250"/>
      <w:r/>
      <w:bookmarkEnd w:id="251"/>
      <w:r/>
      <w:r/>
    </w:p>
    <w:p>
      <w:pPr>
        <w:ind w:firstLine="420"/>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p>
      <w:pPr>
        <w:ind w:firstLine="840"/>
        <w:jc w:val="center"/>
        <w:spacing w:line="360" w:lineRule="auto"/>
        <w:rPr>
          <w:rFonts w:hint="eastAsia" w:ascii="宋体" w:hAnsi="宋体" w:eastAsia="宋体" w:cs="宋体"/>
          <w:color w:val="auto"/>
          <w:sz w:val="24"/>
          <w:highlight w:val="none"/>
        </w:rPr>
        <w:outlineLvl w:val="0"/>
      </w:pPr>
      <w:r/>
      <w:bookmarkStart w:id="252" w:name="_Toc11717"/>
      <w:r/>
      <w:bookmarkStart w:id="253" w:name="_Toc4695"/>
      <w:r/>
      <w:bookmarkStart w:id="254" w:name="_Toc15866"/>
      <w:r/>
      <w:bookmarkStart w:id="255" w:name="_Toc11517_WPSOffice_Level1"/>
      <w:r>
        <w:rPr>
          <w:rFonts w:hint="eastAsia" w:ascii="宋体" w:hAnsi="宋体" w:eastAsia="宋体" w:cs="宋体"/>
          <w:color w:val="auto"/>
          <w:sz w:val="24"/>
          <w:highlight w:val="none"/>
        </w:rPr>
        <w:t xml:space="preserve">供应商认为有必要提供的材料或评分标准中需要提供的材料。</w:t>
      </w:r>
      <w:bookmarkEnd w:id="252"/>
      <w:r/>
      <w:bookmarkEnd w:id="253"/>
      <w:r/>
      <w:bookmarkEnd w:id="254"/>
      <w:r/>
      <w:bookmarkEnd w:id="255"/>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1001"/>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1001"/>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520" w:lineRule="exact"/>
        <w:rPr>
          <w:rFonts w:hint="eastAsia" w:ascii="宋体" w:hAnsi="宋体" w:eastAsia="宋体" w:cs="宋体"/>
          <w:color w:val="auto"/>
          <w:sz w:val="24"/>
          <w:highlight w:val="none"/>
        </w:rPr>
      </w:pPr>
      <w:r>
        <w:rPr>
          <w:rFonts w:hint="eastAsia" w:ascii="宋体" w:hAnsi="宋体" w:eastAsia="宋体" w:cs="宋体"/>
          <w:b/>
          <w:bCs/>
          <w:color w:val="auto"/>
          <w:spacing w:val="8"/>
          <w:sz w:val="24"/>
          <w:highlight w:val="none"/>
        </w:rPr>
        <w:t xml:space="preserve">注：本采购项目的资格评审及评标相关的证明文</w:t>
      </w:r>
      <w:r>
        <w:rPr>
          <w:rFonts w:hint="eastAsia" w:ascii="宋体" w:hAnsi="宋体" w:eastAsia="宋体" w:cs="宋体"/>
          <w:b/>
          <w:bCs/>
          <w:color w:val="auto"/>
          <w:spacing w:val="7"/>
          <w:sz w:val="24"/>
          <w:highlight w:val="none"/>
        </w:rPr>
        <w:t xml:space="preserve">件均需提供原件彩色扫描件上传至电子响应</w:t>
      </w:r>
      <w:r>
        <w:rPr>
          <w:rFonts w:hint="eastAsia" w:ascii="宋体" w:hAnsi="宋体" w:eastAsia="宋体" w:cs="宋体"/>
          <w:b/>
          <w:bCs/>
          <w:color w:val="auto"/>
          <w:spacing w:val="8"/>
          <w:sz w:val="24"/>
          <w:highlight w:val="none"/>
        </w:rPr>
        <w:t xml:space="preserve">文件中，扫描件需齐全并能清晰辨认并在有效期内，</w:t>
      </w:r>
      <w:r>
        <w:rPr>
          <w:rFonts w:hint="eastAsia" w:ascii="宋体" w:hAnsi="宋体" w:eastAsia="宋体" w:cs="宋体"/>
          <w:b/>
          <w:bCs/>
          <w:color w:val="auto"/>
          <w:spacing w:val="7"/>
          <w:sz w:val="24"/>
          <w:highlight w:val="none"/>
        </w:rPr>
        <w:t xml:space="preserve">提供的与评分相关的证明材料必须能清</w:t>
      </w:r>
      <w:r>
        <w:rPr>
          <w:rFonts w:hint="eastAsia" w:ascii="宋体" w:hAnsi="宋体" w:eastAsia="宋体" w:cs="宋体"/>
          <w:b/>
          <w:bCs/>
          <w:color w:val="auto"/>
          <w:spacing w:val="9"/>
          <w:sz w:val="24"/>
          <w:highlight w:val="none"/>
        </w:rPr>
        <w:t xml:space="preserve">晰的表明需要明示的内容，否则由此引起后果自行承担。</w:t>
      </w:r>
      <w:r/>
    </w:p>
    <w:p>
      <w:pPr>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bookmarkEnd w:id="182"/>
      <w:r/>
      <w:bookmarkEnd w:id="183"/>
      <w:r/>
      <w:bookmarkEnd w:id="184"/>
      <w:r/>
      <w:bookmarkEnd w:id="204"/>
      <w:r/>
      <w:bookmarkEnd w:id="205"/>
      <w:r/>
      <w:bookmarkEnd w:id="206"/>
      <w:r/>
      <w:bookmarkEnd w:id="207"/>
      <w:r/>
      <w:bookmarkEnd w:id="208"/>
      <w:r/>
      <w:bookmarkEnd w:id="209"/>
      <w:r/>
      <w:bookmarkEnd w:id="210"/>
      <w:r/>
      <w:bookmarkEnd w:id="211"/>
      <w:r/>
      <w:r/>
    </w:p>
    <w:p>
      <w:pPr>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sectPr>
      <w:footerReference w:type="default" r:id="rId9"/>
      <w:footerReference w:type="first" r:id="rId10"/>
      <w:footnotePr/>
      <w:endnotePr/>
      <w:type w:val="nextPage"/>
      <w:pgSz w:w="11906" w:h="16838" w:orient="portrait"/>
      <w:pgMar w:top="1440" w:right="1080" w:bottom="1440" w:left="1080" w:header="851" w:footer="907" w:gutter="0"/>
      <w:pgNumType w:start="1"/>
      <w:cols w:num="1" w:sep="0" w:space="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方正仿宋_GBK">
    <w:panose1 w:val="020B0503020202020204"/>
  </w:font>
  <w:font w:name="方正黑体_GBK">
    <w:panose1 w:val="020B0503020202020204"/>
  </w:font>
  <w:font w:name="方正小标宋_GBK">
    <w:panose1 w:val="020B0503020202020204"/>
  </w:font>
  <w:font w:name="Calibri">
    <w:panose1 w:val="020F0502020204030204"/>
  </w:font>
  <w:font w:name="PMingLiU">
    <w:panose1 w:val="02020500000000000000"/>
  </w:font>
  <w:font w:name="Book Antiqua">
    <w:panose1 w:val="02040602050305030304"/>
  </w:font>
  <w:font w:name="Tahoma">
    <w:panose1 w:val="020B0604030504040204"/>
  </w:font>
  <w:font w:name="仿宋">
    <w:panose1 w:val="02010609060101010101"/>
  </w:font>
  <w:font w:name="方正楷体_GBK">
    <w:panose1 w:val="020B0503020202020204"/>
  </w:font>
  <w:font w:name="Cambria">
    <w:panose1 w:val="02040503050406030204"/>
  </w:font>
  <w:font w:name="Courier New">
    <w:panose1 w:val="02070309020205020404"/>
  </w:font>
  <w:font w:name="仿宋_GB2312">
    <w:panose1 w:val="02010609060101010101"/>
  </w:font>
  <w:font w:name="方正姚体">
    <w:panose1 w:val="02010601030101010101"/>
  </w:font>
  <w:font w:name="黑体">
    <w:panose1 w:val="02010609060101010101"/>
  </w:font>
  <w:font w:name="Arial">
    <w:panose1 w:val="020B0604020202020204"/>
  </w:font>
  <w:font w:name="楷体_GB2312">
    <w:panose1 w:val="02010609060101010101"/>
  </w:font>
  <w:font w:name="SimSun">
    <w:panose1 w:val="02010600030101010101"/>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7"/>
      <w:jc w:val="center"/>
      <w:tabs>
        <w:tab w:val="clear" w:pos="4153"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57785" cy="131445"/>
              <wp:effectExtent l="0" t="0" r="0" b="0"/>
              <wp:wrapNone/>
              <wp:docPr id="1" name="文本框 7"/>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57785" cy="131445"/>
                      </a:xfrm>
                      <a:prstGeom prst="rect">
                        <a:avLst/>
                      </a:prstGeom>
                      <a:noFill/>
                      <a:ln>
                        <a:noFill/>
                      </a:ln>
                      <a:effectLst/>
                    </wps:spPr>
                    <wps:txbx>
                      <w:txbxContent>
                        <w:p>
                          <w:pPr>
                            <w:pStyle w:val="747"/>
                          </w:pPr>
                          <w:r>
                            <w:fldChar w:fldCharType="begin"/>
                          </w:r>
                          <w:r>
                            <w:instrText xml:space="preserve"> PAGE  \* MERGEFORMAT </w:instrText>
                          </w:r>
                          <w:r>
                            <w:fldChar w:fldCharType="separate"/>
                          </w:r>
                          <w:r>
                            <w:t xml:space="preserve">43</w:t>
                          </w:r>
                          <w:r>
                            <w:fldChar w:fldCharType="end"/>
                          </w:r>
                          <w:r/>
                        </w:p>
                      </w:txbxContent>
                    </wps:txbx>
                    <wps:bodyPr rot="0" vert="horz" wrap="none" lIns="0" tIns="0" rIns="0" bIns="0" anchor="t" anchorCtr="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4.5pt;height:10.3pt;mso-wrap-distance-left:9.0pt;mso-wrap-distance-top:0.0pt;mso-wrap-distance-right:9.0pt;mso-wrap-distance-bottom:0.0pt;v-text-anchor:top;visibility:visible;" filled="f" stroked="f">
              <v:textbox inset="0,0,0,0">
                <w:txbxContent>
                  <w:p>
                    <w:pPr>
                      <w:pStyle w:val="747"/>
                    </w:pPr>
                    <w:r>
                      <w:fldChar w:fldCharType="begin"/>
                    </w:r>
                    <w:r>
                      <w:instrText xml:space="preserve"> PAGE  \* MERGEFORMAT </w:instrText>
                    </w:r>
                    <w:r>
                      <w:fldChar w:fldCharType="separate"/>
                    </w:r>
                    <w:r>
                      <w:t xml:space="preserve">43</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7"/>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57785" cy="131445"/>
              <wp:effectExtent l="0" t="0" r="0" b="0"/>
              <wp:wrapNone/>
              <wp:docPr id="2" name="文本框 8"/>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57785" cy="131445"/>
                      </a:xfrm>
                      <a:prstGeom prst="rect">
                        <a:avLst/>
                      </a:prstGeom>
                      <a:noFill/>
                      <a:ln>
                        <a:noFill/>
                      </a:ln>
                      <a:effectLst/>
                    </wps:spPr>
                    <wps:txbx>
                      <w:txbxContent>
                        <w:p>
                          <w:pPr>
                            <w:pStyle w:val="747"/>
                          </w:pPr>
                          <w:r>
                            <w:fldChar w:fldCharType="begin"/>
                          </w:r>
                          <w:r>
                            <w:instrText xml:space="preserve"> PAGE  \* MERGEFORMAT </w:instrText>
                          </w:r>
                          <w:r>
                            <w:fldChar w:fldCharType="separate"/>
                          </w:r>
                          <w:r>
                            <w:t xml:space="preserve">1</w:t>
                          </w:r>
                          <w:r>
                            <w:fldChar w:fldCharType="end"/>
                          </w:r>
                          <w:r/>
                        </w:p>
                      </w:txbxContent>
                    </wps:txbx>
                    <wps:bodyPr rot="0" vert="horz" wrap="none" lIns="0" tIns="0" rIns="0" bIns="0" anchor="t" anchorCtr="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4.5pt;height:10.3pt;mso-wrap-distance-left:9.0pt;mso-wrap-distance-top:0.0pt;mso-wrap-distance-right:9.0pt;mso-wrap-distance-bottom:0.0pt;v-text-anchor:top;visibility:visible;" filled="f" stroked="f">
              <v:textbox inset="0,0,0,0">
                <w:txbxContent>
                  <w:p>
                    <w:pPr>
                      <w:pStyle w:val="747"/>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pStyle w:val="971"/>
      <w:isLgl w:val="false"/>
      <w:suff w:val="tab"/>
      <w:lvlText w:val="第%1章"/>
      <w:lvlJc w:val="left"/>
      <w:pPr>
        <w:ind w:left="9351" w:hanging="420"/>
      </w:pPr>
      <w:rPr>
        <w:rFonts w:hint="eastAsia" w:ascii="黑体" w:eastAsia="黑体"/>
        <w:b w:val="0"/>
        <w:sz w:val="36"/>
        <w:lang w:val="en-US"/>
      </w:rPr>
    </w:lvl>
    <w:lvl w:ilvl="1">
      <w:start w:val="1"/>
      <w:numFmt w:val="decimal"/>
      <w:pStyle w:val="970"/>
      <w:isLgl/>
      <w:suff w:val="tab"/>
      <w:lvlText w:val="%1.%2"/>
      <w:lvlJc w:val="left"/>
      <w:pPr>
        <w:ind w:left="0" w:firstLine="0"/>
        <w:tabs>
          <w:tab w:val="left" w:pos="851" w:leader="none"/>
        </w:tabs>
      </w:pPr>
      <w:rPr>
        <w:rFonts w:cs="Times New Roman"/>
        <w:b w:val="0"/>
        <w:bCs w:val="0"/>
        <w:i w:val="0"/>
        <w:iCs w:val="0"/>
        <w:caps w:val="0"/>
        <w:smallCaps w:val="0"/>
        <w:strike w:val="0"/>
        <w:vanish w:val="0"/>
        <w:color w:val="000000"/>
        <w:spacing w:val="0"/>
        <w:position w:val="0"/>
        <w:u w:val="none"/>
        <w:vertAlign w:val="baseline"/>
      </w:rPr>
    </w:lvl>
    <w:lvl w:ilvl="2">
      <w:start w:val="1"/>
      <w:numFmt w:val="decimal"/>
      <w:pStyle w:val="969"/>
      <w:isLgl/>
      <w:suff w:val="tab"/>
      <w:lvlText w:val="%1.%2.%3"/>
      <w:lvlJc w:val="left"/>
      <w:pPr>
        <w:ind w:left="0" w:firstLine="0"/>
        <w:tabs>
          <w:tab w:val="left" w:pos="851" w:leader="none"/>
        </w:tabs>
      </w:pPr>
      <w:rPr>
        <w:rFonts w:cs="Times New Roman"/>
        <w:b w:val="0"/>
        <w:bCs w:val="0"/>
        <w:i w:val="0"/>
        <w:iCs w:val="0"/>
        <w:caps w:val="0"/>
        <w:smallCaps w:val="0"/>
        <w:strike w:val="0"/>
        <w:vanish w:val="0"/>
        <w:color w:val="000000"/>
        <w:spacing w:val="0"/>
        <w:position w:val="0"/>
        <w:u w:val="none"/>
        <w:vertAlign w:val="baseline"/>
      </w:rPr>
    </w:lvl>
    <w:lvl w:ilvl="3">
      <w:start w:val="1"/>
      <w:numFmt w:val="decimal"/>
      <w:pStyle w:val="955"/>
      <w:isLgl/>
      <w:suff w:val="tab"/>
      <w:lvlText w:val="%1.%2.%3.%4"/>
      <w:lvlJc w:val="left"/>
      <w:pPr>
        <w:ind w:left="0" w:firstLine="0"/>
        <w:tabs>
          <w:tab w:val="left" w:pos="1134" w:leader="none"/>
        </w:tabs>
      </w:pPr>
      <w:rPr>
        <w:rFonts w:hint="eastAsia"/>
      </w:rPr>
    </w:lvl>
    <w:lvl w:ilvl="4">
      <w:start w:val="1"/>
      <w:numFmt w:val="decimal"/>
      <w:isLgl w:val="false"/>
      <w:suff w:val="tab"/>
      <w:lvlText w:val="%1.%2.%3.%4.%5"/>
      <w:lvlJc w:val="left"/>
      <w:pPr>
        <w:ind w:left="4620" w:hanging="850"/>
        <w:tabs>
          <w:tab w:val="left" w:pos="4850" w:leader="none"/>
        </w:tabs>
      </w:pPr>
      <w:rPr>
        <w:rFonts w:hint="eastAsia"/>
      </w:rPr>
    </w:lvl>
    <w:lvl w:ilvl="5">
      <w:start w:val="1"/>
      <w:numFmt w:val="decimal"/>
      <w:isLgl w:val="false"/>
      <w:suff w:val="tab"/>
      <w:lvlText w:val="%1.%2.%3.%4.%5.%6"/>
      <w:lvlJc w:val="left"/>
      <w:pPr>
        <w:ind w:left="5329" w:hanging="1134"/>
        <w:tabs>
          <w:tab w:val="left" w:pos="5635" w:leader="none"/>
        </w:tabs>
      </w:pPr>
      <w:rPr>
        <w:rFonts w:hint="eastAsia"/>
      </w:rPr>
    </w:lvl>
    <w:lvl w:ilvl="6">
      <w:start w:val="1"/>
      <w:numFmt w:val="decimal"/>
      <w:isLgl w:val="false"/>
      <w:suff w:val="tab"/>
      <w:lvlText w:val="%1.%2.%3.%4.%5.%6.%7"/>
      <w:lvlJc w:val="left"/>
      <w:pPr>
        <w:ind w:left="5896" w:hanging="1276"/>
        <w:tabs>
          <w:tab w:val="left" w:pos="6420" w:leader="none"/>
        </w:tabs>
      </w:pPr>
      <w:rPr>
        <w:rFonts w:hint="eastAsia"/>
      </w:rPr>
    </w:lvl>
    <w:lvl w:ilvl="7">
      <w:start w:val="1"/>
      <w:numFmt w:val="decimal"/>
      <w:isLgl w:val="false"/>
      <w:suff w:val="tab"/>
      <w:lvlText w:val="%1.%2.%3.%4.%5.%6.%7.%8"/>
      <w:lvlJc w:val="left"/>
      <w:pPr>
        <w:ind w:left="6463" w:hanging="1418"/>
        <w:tabs>
          <w:tab w:val="left" w:pos="6845" w:leader="none"/>
        </w:tabs>
      </w:pPr>
      <w:rPr>
        <w:rFonts w:hint="eastAsia"/>
      </w:rPr>
    </w:lvl>
    <w:lvl w:ilvl="8">
      <w:start w:val="1"/>
      <w:numFmt w:val="decimal"/>
      <w:isLgl w:val="false"/>
      <w:suff w:val="tab"/>
      <w:lvlText w:val="%1.%2.%3.%4.%5.%6.%7.%8.%9"/>
      <w:lvlJc w:val="left"/>
      <w:pPr>
        <w:ind w:left="7171" w:hanging="1700"/>
        <w:tabs>
          <w:tab w:val="left" w:pos="7631" w:leader="none"/>
        </w:tabs>
      </w:pPr>
      <w:rPr>
        <w:rFonts w:hint="eastAsia"/>
      </w:rPr>
    </w:lvl>
  </w:abstractNum>
  <w:abstractNum w:abstractNumId="1">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8"/>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upperLetter"/>
      <w:pStyle w:val="974"/>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5"/>
  </w:num>
  <w:num w:numId="3">
    <w:abstractNumId w:val="1"/>
  </w:num>
  <w:num w:numId="4">
    <w:abstractNumId w:val="3"/>
  </w:num>
  <w:num w:numId="5">
    <w:abstractNumId w:val="4"/>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4">
    <w:name w:val="TOC Heading"/>
    <w:uiPriority w:val="39"/>
    <w:unhideWhenUsed/>
  </w:style>
  <w:style w:type="paragraph" w:styleId="715"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716">
    <w:name w:val="Heading 1"/>
    <w:basedOn w:val="715"/>
    <w:next w:val="715"/>
    <w:link w:val="942"/>
    <w:uiPriority w:val="0"/>
    <w:qFormat/>
    <w:pPr>
      <w:jc w:val="center"/>
      <w:keepNext/>
      <w:outlineLvl w:val="0"/>
    </w:pPr>
    <w:rPr>
      <w:rFonts w:ascii="楷体_GB2312" w:hAnsi="楷体_GB2312"/>
      <w:b/>
      <w:sz w:val="44"/>
      <w:szCs w:val="20"/>
    </w:rPr>
  </w:style>
  <w:style w:type="paragraph" w:styleId="717">
    <w:name w:val="Heading 2"/>
    <w:basedOn w:val="715"/>
    <w:next w:val="715"/>
    <w:uiPriority w:val="0"/>
    <w:qFormat/>
    <w:pPr>
      <w:jc w:val="center"/>
      <w:keepLines/>
      <w:keepNext/>
      <w:spacing w:before="260" w:after="260" w:line="416" w:lineRule="auto"/>
      <w:outlineLvl w:val="1"/>
    </w:pPr>
    <w:rPr>
      <w:rFonts w:ascii="Arial" w:hAnsi="Arial"/>
      <w:b/>
      <w:sz w:val="44"/>
      <w:szCs w:val="20"/>
    </w:rPr>
  </w:style>
  <w:style w:type="paragraph" w:styleId="718">
    <w:name w:val="Heading 3"/>
    <w:basedOn w:val="715"/>
    <w:next w:val="715"/>
    <w:uiPriority w:val="0"/>
    <w:qFormat/>
    <w:pPr>
      <w:keepLines/>
      <w:keepNext/>
      <w:spacing w:before="260" w:after="260" w:line="416" w:lineRule="auto"/>
      <w:outlineLvl w:val="2"/>
    </w:pPr>
    <w:rPr>
      <w:b/>
      <w:sz w:val="32"/>
      <w:szCs w:val="20"/>
    </w:rPr>
  </w:style>
  <w:style w:type="paragraph" w:styleId="719">
    <w:name w:val="Heading 4"/>
    <w:basedOn w:val="715"/>
    <w:next w:val="715"/>
    <w:uiPriority w:val="0"/>
    <w:qFormat/>
    <w:pPr>
      <w:keepLines/>
      <w:keepNext/>
      <w:spacing w:before="280" w:after="290" w:line="376" w:lineRule="auto"/>
      <w:outlineLvl w:val="3"/>
    </w:pPr>
    <w:rPr>
      <w:rFonts w:ascii="Arial" w:hAnsi="Arial" w:eastAsia="黑体"/>
      <w:bCs/>
      <w:sz w:val="28"/>
      <w:szCs w:val="28"/>
    </w:rPr>
  </w:style>
  <w:style w:type="paragraph" w:styleId="720">
    <w:name w:val="Heading 5"/>
    <w:basedOn w:val="715"/>
    <w:next w:val="715"/>
    <w:uiPriority w:val="0"/>
    <w:qFormat/>
    <w:pPr>
      <w:keepNext/>
      <w:outlineLvl w:val="4"/>
    </w:pPr>
    <w:rPr>
      <w:rFonts w:ascii="宋体" w:hAnsi="宋体"/>
      <w:b/>
      <w:bCs/>
    </w:rPr>
  </w:style>
  <w:style w:type="paragraph" w:styleId="721">
    <w:name w:val="Heading 6"/>
    <w:basedOn w:val="715"/>
    <w:next w:val="715"/>
    <w:link w:val="797"/>
    <w:uiPriority w:val="9"/>
    <w:unhideWhenUsed/>
    <w:qFormat/>
    <w:pPr>
      <w:keepLines/>
      <w:keepNext/>
      <w:spacing w:before="320" w:after="200"/>
      <w:outlineLvl w:val="5"/>
    </w:pPr>
    <w:rPr>
      <w:rFonts w:ascii="Arial" w:hAnsi="Arial" w:eastAsia="Arial" w:cs="Arial"/>
      <w:b/>
      <w:bCs/>
      <w:sz w:val="22"/>
      <w:szCs w:val="22"/>
    </w:rPr>
  </w:style>
  <w:style w:type="paragraph" w:styleId="722">
    <w:name w:val="Heading 7"/>
    <w:basedOn w:val="715"/>
    <w:next w:val="715"/>
    <w:link w:val="798"/>
    <w:uiPriority w:val="9"/>
    <w:unhideWhenUsed/>
    <w:qFormat/>
    <w:pPr>
      <w:keepLines/>
      <w:keepNext/>
      <w:spacing w:before="320" w:after="200"/>
      <w:outlineLvl w:val="6"/>
    </w:pPr>
    <w:rPr>
      <w:rFonts w:ascii="Arial" w:hAnsi="Arial" w:eastAsia="Arial" w:cs="Arial"/>
      <w:b/>
      <w:bCs/>
      <w:i/>
      <w:iCs/>
      <w:sz w:val="22"/>
      <w:szCs w:val="22"/>
    </w:rPr>
  </w:style>
  <w:style w:type="paragraph" w:styleId="723">
    <w:name w:val="Heading 8"/>
    <w:basedOn w:val="715"/>
    <w:next w:val="715"/>
    <w:link w:val="799"/>
    <w:uiPriority w:val="9"/>
    <w:unhideWhenUsed/>
    <w:qFormat/>
    <w:pPr>
      <w:keepLines/>
      <w:keepNext/>
      <w:spacing w:before="320" w:after="200"/>
      <w:outlineLvl w:val="7"/>
    </w:pPr>
    <w:rPr>
      <w:rFonts w:ascii="Arial" w:hAnsi="Arial" w:eastAsia="Arial" w:cs="Arial"/>
      <w:i/>
      <w:iCs/>
      <w:sz w:val="22"/>
      <w:szCs w:val="22"/>
    </w:rPr>
  </w:style>
  <w:style w:type="paragraph" w:styleId="724">
    <w:name w:val="Heading 9"/>
    <w:basedOn w:val="715"/>
    <w:next w:val="715"/>
    <w:link w:val="800"/>
    <w:uiPriority w:val="9"/>
    <w:unhideWhenUsed/>
    <w:qFormat/>
    <w:pPr>
      <w:keepLines/>
      <w:keepNext/>
      <w:spacing w:before="320" w:after="200"/>
      <w:outlineLvl w:val="8"/>
    </w:pPr>
    <w:rPr>
      <w:rFonts w:ascii="Arial" w:hAnsi="Arial" w:eastAsia="Arial" w:cs="Arial"/>
      <w:i/>
      <w:iCs/>
      <w:szCs w:val="21"/>
    </w:rPr>
  </w:style>
  <w:style w:type="character" w:styleId="725" w:default="1">
    <w:name w:val="Default Paragraph Font"/>
    <w:uiPriority w:val="1"/>
    <w:semiHidden/>
    <w:unhideWhenUsed/>
    <w:qFormat/>
  </w:style>
  <w:style w:type="table" w:styleId="726" w:default="1">
    <w:name w:val="Normal Table"/>
    <w:uiPriority w:val="99"/>
    <w:semiHidden/>
    <w:unhideWhenUsed/>
    <w:qFormat/>
    <w:tblPr>
      <w:tblCellMar>
        <w:left w:w="108" w:type="dxa"/>
        <w:top w:w="0" w:type="dxa"/>
        <w:right w:w="108" w:type="dxa"/>
        <w:bottom w:w="0" w:type="dxa"/>
      </w:tblCellMar>
    </w:tblPr>
  </w:style>
  <w:style w:type="paragraph" w:styleId="727">
    <w:name w:val="toc 7"/>
    <w:basedOn w:val="715"/>
    <w:next w:val="715"/>
    <w:uiPriority w:val="0"/>
    <w:semiHidden/>
    <w:qFormat/>
    <w:pPr>
      <w:ind w:left="2520"/>
    </w:pPr>
  </w:style>
  <w:style w:type="paragraph" w:styleId="728">
    <w:name w:val="Normal Indent"/>
    <w:basedOn w:val="715"/>
    <w:link w:val="943"/>
    <w:uiPriority w:val="0"/>
    <w:qFormat/>
    <w:pPr>
      <w:ind w:firstLine="420"/>
    </w:pPr>
    <w:rPr>
      <w:szCs w:val="20"/>
    </w:rPr>
  </w:style>
  <w:style w:type="paragraph" w:styleId="729">
    <w:name w:val="Caption"/>
    <w:basedOn w:val="715"/>
    <w:next w:val="715"/>
    <w:uiPriority w:val="35"/>
    <w:semiHidden/>
    <w:unhideWhenUsed/>
    <w:qFormat/>
    <w:pPr>
      <w:spacing w:line="276" w:lineRule="auto"/>
    </w:pPr>
    <w:rPr>
      <w:b/>
      <w:bCs/>
      <w:color w:val="4472c4" w:themeColor="accent1"/>
      <w:sz w:val="18"/>
      <w:szCs w:val="18"/>
      <w14:textFill>
        <w14:solidFill>
          <w14:schemeClr w14:val="accent1"/>
        </w14:solidFill>
      </w14:textFill>
    </w:rPr>
  </w:style>
  <w:style w:type="paragraph" w:styleId="730">
    <w:name w:val="index 5"/>
    <w:basedOn w:val="715"/>
    <w:next w:val="715"/>
    <w:uiPriority w:val="0"/>
    <w:qFormat/>
    <w:pPr>
      <w:ind w:left="800"/>
      <w:spacing w:line="240" w:lineRule="atLeast"/>
      <w:widowControl/>
    </w:pPr>
    <w:rPr>
      <w:rFonts w:ascii="Arial" w:hAnsi="Arial"/>
      <w:szCs w:val="21"/>
    </w:rPr>
  </w:style>
  <w:style w:type="paragraph" w:styleId="731">
    <w:name w:val="Document Map"/>
    <w:basedOn w:val="715"/>
    <w:uiPriority w:val="0"/>
    <w:semiHidden/>
    <w:qFormat/>
    <w:pPr>
      <w:shd w:val="clear" w:color="auto" w:fill="000080"/>
    </w:pPr>
  </w:style>
  <w:style w:type="paragraph" w:styleId="732">
    <w:name w:val="annotation text"/>
    <w:basedOn w:val="715"/>
    <w:link w:val="944"/>
    <w:uiPriority w:val="99"/>
    <w:qFormat/>
    <w:pPr>
      <w:jc w:val="left"/>
    </w:pPr>
  </w:style>
  <w:style w:type="paragraph" w:styleId="733">
    <w:name w:val="Body Text 3"/>
    <w:basedOn w:val="715"/>
    <w:uiPriority w:val="0"/>
    <w:qFormat/>
    <w:rPr>
      <w:rFonts w:ascii="仿宋_GB2312" w:hAnsi="Arial" w:eastAsia="仿宋_GB2312"/>
      <w:sz w:val="32"/>
      <w:szCs w:val="20"/>
    </w:rPr>
  </w:style>
  <w:style w:type="paragraph" w:styleId="734">
    <w:name w:val="Body Text"/>
    <w:basedOn w:val="715"/>
    <w:next w:val="735"/>
    <w:uiPriority w:val="0"/>
    <w:qFormat/>
    <w:rPr>
      <w:rFonts w:ascii="楷体_GB2312" w:hAnsi="Arial" w:eastAsia="楷体_GB2312"/>
      <w:sz w:val="28"/>
      <w:szCs w:val="20"/>
    </w:rPr>
  </w:style>
  <w:style w:type="paragraph" w:styleId="735">
    <w:name w:val="Body Text First Indent"/>
    <w:basedOn w:val="734"/>
    <w:next w:val="715"/>
    <w:uiPriority w:val="99"/>
    <w:unhideWhenUsed/>
    <w:qFormat/>
    <w:pPr>
      <w:ind w:firstLine="420"/>
    </w:pPr>
  </w:style>
  <w:style w:type="paragraph" w:styleId="736">
    <w:name w:val="Body Text Indent"/>
    <w:basedOn w:val="715"/>
    <w:next w:val="737"/>
    <w:uiPriority w:val="0"/>
    <w:qFormat/>
    <w:pPr>
      <w:ind w:firstLine="645"/>
    </w:pPr>
    <w:rPr>
      <w:rFonts w:ascii="楷体_GB2312" w:eastAsia="楷体_GB2312"/>
      <w:sz w:val="32"/>
      <w:szCs w:val="20"/>
    </w:rPr>
  </w:style>
  <w:style w:type="paragraph" w:styleId="737">
    <w:name w:val="envelope return"/>
    <w:basedOn w:val="715"/>
    <w:uiPriority w:val="0"/>
    <w:qFormat/>
    <w:rPr>
      <w:rFonts w:ascii="Arial" w:hAnsi="Arial"/>
    </w:rPr>
  </w:style>
  <w:style w:type="paragraph" w:styleId="738">
    <w:name w:val="Block Text"/>
    <w:basedOn w:val="715"/>
    <w:uiPriority w:val="0"/>
    <w:qFormat/>
    <w:pPr>
      <w:ind w:left="1440" w:right="1440" w:firstLine="480"/>
      <w:jc w:val="left"/>
      <w:spacing w:before="100" w:beforeAutospacing="1" w:after="100" w:afterAutospacing="1" w:line="360" w:lineRule="auto"/>
      <w:widowControl/>
    </w:pPr>
    <w:rPr>
      <w:rFonts w:ascii="宋体" w:hAnsi="宋体"/>
      <w:sz w:val="24"/>
    </w:rPr>
  </w:style>
  <w:style w:type="paragraph" w:styleId="739">
    <w:name w:val="toc 5"/>
    <w:basedOn w:val="715"/>
    <w:next w:val="715"/>
    <w:uiPriority w:val="0"/>
    <w:semiHidden/>
    <w:qFormat/>
    <w:pPr>
      <w:ind w:left="1680"/>
    </w:pPr>
  </w:style>
  <w:style w:type="paragraph" w:styleId="740">
    <w:name w:val="toc 3"/>
    <w:basedOn w:val="715"/>
    <w:next w:val="715"/>
    <w:uiPriority w:val="39"/>
    <w:semiHidden/>
    <w:qFormat/>
    <w:pPr>
      <w:ind w:left="539"/>
      <w:jc w:val="left"/>
      <w:spacing w:line="240" w:lineRule="exact"/>
      <w:tabs>
        <w:tab w:val="right" w:pos="9440" w:leader="dot"/>
      </w:tabs>
    </w:pPr>
    <w:rPr>
      <w:rFonts w:ascii="黑体" w:hAnsi="宋体" w:eastAsia="黑体"/>
      <w:bCs/>
      <w:iCs/>
      <w:sz w:val="18"/>
      <w:szCs w:val="32"/>
    </w:rPr>
  </w:style>
  <w:style w:type="paragraph" w:styleId="741">
    <w:name w:val="Plain Text"/>
    <w:basedOn w:val="715"/>
    <w:next w:val="728"/>
    <w:link w:val="945"/>
    <w:uiPriority w:val="0"/>
    <w:qFormat/>
    <w:rPr>
      <w:rFonts w:ascii="宋体" w:hAnsi="Courier New"/>
      <w:szCs w:val="20"/>
    </w:rPr>
  </w:style>
  <w:style w:type="paragraph" w:styleId="742">
    <w:name w:val="toc 8"/>
    <w:basedOn w:val="715"/>
    <w:next w:val="715"/>
    <w:uiPriority w:val="0"/>
    <w:semiHidden/>
    <w:qFormat/>
    <w:pPr>
      <w:ind w:left="2940"/>
    </w:pPr>
  </w:style>
  <w:style w:type="paragraph" w:styleId="743">
    <w:name w:val="Date"/>
    <w:basedOn w:val="715"/>
    <w:next w:val="715"/>
    <w:uiPriority w:val="0"/>
    <w:qFormat/>
    <w:rPr>
      <w:sz w:val="24"/>
      <w:szCs w:val="20"/>
    </w:rPr>
  </w:style>
  <w:style w:type="paragraph" w:styleId="744">
    <w:name w:val="Body Text Indent 2"/>
    <w:basedOn w:val="715"/>
    <w:uiPriority w:val="0"/>
    <w:qFormat/>
    <w:pPr>
      <w:ind w:firstLine="560"/>
    </w:pPr>
    <w:rPr>
      <w:rFonts w:ascii="宋体" w:hAnsi="宋体"/>
      <w:sz w:val="28"/>
    </w:rPr>
  </w:style>
  <w:style w:type="paragraph" w:styleId="745">
    <w:name w:val="endnote text"/>
    <w:basedOn w:val="715"/>
    <w:link w:val="937"/>
    <w:uiPriority w:val="99"/>
    <w:semiHidden/>
    <w:unhideWhenUsed/>
    <w:qFormat/>
    <w:rPr>
      <w:sz w:val="20"/>
    </w:rPr>
  </w:style>
  <w:style w:type="paragraph" w:styleId="746">
    <w:name w:val="Balloon Text"/>
    <w:basedOn w:val="715"/>
    <w:uiPriority w:val="0"/>
    <w:semiHidden/>
    <w:qFormat/>
    <w:rPr>
      <w:sz w:val="18"/>
      <w:szCs w:val="18"/>
    </w:rPr>
  </w:style>
  <w:style w:type="paragraph" w:styleId="747">
    <w:name w:val="Footer"/>
    <w:basedOn w:val="715"/>
    <w:uiPriority w:val="0"/>
    <w:qFormat/>
    <w:pPr>
      <w:jc w:val="left"/>
      <w:tabs>
        <w:tab w:val="center" w:pos="4153" w:leader="none"/>
        <w:tab w:val="right" w:pos="8306" w:leader="none"/>
      </w:tabs>
    </w:pPr>
    <w:rPr>
      <w:sz w:val="18"/>
      <w:szCs w:val="20"/>
    </w:rPr>
  </w:style>
  <w:style w:type="paragraph" w:styleId="748">
    <w:name w:val="Header"/>
    <w:basedOn w:val="715"/>
    <w:next w:val="749"/>
    <w:uiPriority w:val="0"/>
    <w:qFormat/>
    <w:pPr>
      <w:jc w:val="center"/>
      <w:tabs>
        <w:tab w:val="center" w:pos="4153" w:leader="none"/>
        <w:tab w:val="right" w:pos="8306" w:leader="none"/>
      </w:tabs>
      <w:pBdr>
        <w:bottom w:val="single" w:color="auto" w:sz="6" w:space="1"/>
      </w:pBdr>
    </w:pPr>
    <w:rPr>
      <w:sz w:val="18"/>
      <w:szCs w:val="18"/>
    </w:rPr>
  </w:style>
  <w:style w:type="paragraph" w:styleId="749" w:customStyle="1">
    <w:name w:val="Quote1"/>
    <w:basedOn w:val="715"/>
    <w:next w:val="715"/>
    <w:uiPriority w:val="99"/>
    <w:qFormat/>
    <w:pPr>
      <w:ind w:left="864" w:right="864"/>
      <w:jc w:val="center"/>
      <w:spacing w:before="200" w:after="160"/>
      <w:widowControl/>
    </w:pPr>
    <w:rPr>
      <w:rFonts w:ascii="宋体"/>
      <w:i/>
      <w:color w:val="404040"/>
    </w:rPr>
  </w:style>
  <w:style w:type="paragraph" w:styleId="750">
    <w:name w:val="toc 1"/>
    <w:basedOn w:val="715"/>
    <w:next w:val="715"/>
    <w:uiPriority w:val="39"/>
    <w:qFormat/>
    <w:pPr>
      <w:jc w:val="left"/>
      <w:spacing w:before="120" w:after="120" w:line="300" w:lineRule="exact"/>
      <w:tabs>
        <w:tab w:val="right" w:pos="9440" w:leader="dot"/>
      </w:tabs>
    </w:pPr>
    <w:rPr>
      <w:rFonts w:ascii="黑体" w:eastAsia="黑体"/>
      <w:b/>
      <w:caps/>
      <w:sz w:val="18"/>
      <w:szCs w:val="28"/>
    </w:rPr>
  </w:style>
  <w:style w:type="paragraph" w:styleId="751">
    <w:name w:val="toc 4"/>
    <w:basedOn w:val="715"/>
    <w:next w:val="715"/>
    <w:uiPriority w:val="0"/>
    <w:semiHidden/>
    <w:qFormat/>
    <w:pPr>
      <w:ind w:left="1260"/>
    </w:pPr>
  </w:style>
  <w:style w:type="paragraph" w:styleId="752">
    <w:name w:val="Subtitle"/>
    <w:basedOn w:val="715"/>
    <w:next w:val="715"/>
    <w:link w:val="946"/>
    <w:uiPriority w:val="0"/>
    <w:qFormat/>
    <w:pPr>
      <w:jc w:val="center"/>
      <w:spacing w:before="240" w:after="60" w:line="312" w:lineRule="auto"/>
      <w:outlineLvl w:val="1"/>
    </w:pPr>
    <w:rPr>
      <w:rFonts w:ascii="Cambria" w:hAnsi="Cambria"/>
      <w:b/>
      <w:bCs/>
      <w:sz w:val="32"/>
      <w:szCs w:val="32"/>
    </w:rPr>
  </w:style>
  <w:style w:type="paragraph" w:styleId="753">
    <w:name w:val="footnote text"/>
    <w:basedOn w:val="715"/>
    <w:next w:val="730"/>
    <w:uiPriority w:val="0"/>
    <w:qFormat/>
    <w:pPr>
      <w:ind w:firstLine="425"/>
      <w:jc w:val="left"/>
      <w:spacing w:before="120" w:line="360" w:lineRule="auto"/>
    </w:pPr>
    <w:rPr>
      <w:sz w:val="18"/>
      <w:szCs w:val="20"/>
    </w:rPr>
  </w:style>
  <w:style w:type="paragraph" w:styleId="754">
    <w:name w:val="toc 6"/>
    <w:basedOn w:val="715"/>
    <w:next w:val="715"/>
    <w:uiPriority w:val="0"/>
    <w:semiHidden/>
    <w:qFormat/>
    <w:pPr>
      <w:ind w:left="2100"/>
    </w:pPr>
  </w:style>
  <w:style w:type="paragraph" w:styleId="755">
    <w:name w:val="Body Text Indent 3"/>
    <w:basedOn w:val="715"/>
    <w:uiPriority w:val="0"/>
    <w:qFormat/>
    <w:pPr>
      <w:ind w:firstLine="523"/>
    </w:pPr>
    <w:rPr>
      <w:rFonts w:ascii="仿宋_GB2312" w:hAnsi="宋体" w:eastAsia="仿宋_GB2312"/>
      <w:sz w:val="24"/>
    </w:rPr>
  </w:style>
  <w:style w:type="paragraph" w:styleId="756">
    <w:name w:val="table of figures"/>
    <w:basedOn w:val="715"/>
    <w:next w:val="715"/>
    <w:uiPriority w:val="99"/>
    <w:unhideWhenUsed/>
    <w:qFormat/>
  </w:style>
  <w:style w:type="paragraph" w:styleId="757">
    <w:name w:val="toc 2"/>
    <w:basedOn w:val="715"/>
    <w:next w:val="715"/>
    <w:uiPriority w:val="39"/>
    <w:qFormat/>
    <w:pPr>
      <w:jc w:val="left"/>
      <w:spacing w:line="260" w:lineRule="exact"/>
      <w:tabs>
        <w:tab w:val="right" w:pos="9440" w:leader="dot"/>
      </w:tabs>
    </w:pPr>
    <w:rPr>
      <w:rFonts w:ascii="黑体" w:eastAsia="黑体"/>
      <w:b/>
      <w:bCs/>
      <w:smallCaps/>
      <w:sz w:val="18"/>
      <w:szCs w:val="44"/>
    </w:rPr>
  </w:style>
  <w:style w:type="paragraph" w:styleId="758">
    <w:name w:val="toc 9"/>
    <w:basedOn w:val="715"/>
    <w:next w:val="715"/>
    <w:uiPriority w:val="0"/>
    <w:semiHidden/>
    <w:qFormat/>
    <w:pPr>
      <w:ind w:left="3360"/>
    </w:pPr>
  </w:style>
  <w:style w:type="paragraph" w:styleId="759">
    <w:name w:val="Body Text 2"/>
    <w:basedOn w:val="715"/>
    <w:uiPriority w:val="0"/>
    <w:qFormat/>
    <w:pPr>
      <w:jc w:val="center"/>
    </w:pPr>
    <w:rPr>
      <w:rFonts w:ascii="仿宋_GB2312" w:eastAsia="仿宋_GB2312"/>
      <w:sz w:val="44"/>
    </w:rPr>
  </w:style>
  <w:style w:type="paragraph" w:styleId="760">
    <w:name w:val="Message Header"/>
    <w:basedOn w:val="715"/>
    <w:uiPriority w:val="0"/>
    <w:qFormat/>
    <w:pPr>
      <w:ind w:left="1080" w:hanging="1080"/>
      <w:shd w:val="pct20" w:color="auto" w:fill="auto"/>
      <w:pBdr>
        <w:top w:val="single" w:color="auto" w:sz="6" w:space="1"/>
        <w:left w:val="single" w:color="auto" w:sz="6" w:space="1"/>
        <w:bottom w:val="single" w:color="auto" w:sz="6" w:space="1"/>
        <w:right w:val="single" w:color="auto" w:sz="6" w:space="1"/>
      </w:pBdr>
    </w:pPr>
    <w:rPr>
      <w:rFonts w:ascii="Cambria" w:hAnsi="Cambria"/>
      <w:sz w:val="24"/>
    </w:rPr>
  </w:style>
  <w:style w:type="paragraph" w:styleId="761">
    <w:name w:val="HTML Preformatted"/>
    <w:basedOn w:val="715"/>
    <w:link w:val="947"/>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762">
    <w:name w:val="Normal (Web)"/>
    <w:basedOn w:val="715"/>
    <w:uiPriority w:val="0"/>
    <w:unhideWhenUsed/>
    <w:qFormat/>
    <w:pPr>
      <w:jc w:val="left"/>
      <w:spacing w:before="100" w:beforeAutospacing="1" w:after="100" w:afterAutospacing="1"/>
      <w:widowControl/>
    </w:pPr>
    <w:rPr>
      <w:rFonts w:ascii="宋体" w:hAnsi="宋体" w:cs="宋体"/>
      <w:sz w:val="24"/>
    </w:rPr>
  </w:style>
  <w:style w:type="paragraph" w:styleId="763">
    <w:name w:val="index 1"/>
    <w:basedOn w:val="715"/>
    <w:next w:val="715"/>
    <w:uiPriority w:val="0"/>
    <w:semiHidden/>
    <w:qFormat/>
    <w:rPr>
      <w:rFonts w:ascii="宋体" w:hAnsi="宋体"/>
      <w:szCs w:val="18"/>
    </w:rPr>
  </w:style>
  <w:style w:type="paragraph" w:styleId="764">
    <w:name w:val="Title"/>
    <w:basedOn w:val="715"/>
    <w:next w:val="715"/>
    <w:link w:val="802"/>
    <w:uiPriority w:val="10"/>
    <w:qFormat/>
    <w:pPr>
      <w:contextualSpacing/>
      <w:spacing w:before="300" w:after="200"/>
    </w:pPr>
    <w:rPr>
      <w:sz w:val="48"/>
      <w:szCs w:val="48"/>
    </w:rPr>
  </w:style>
  <w:style w:type="paragraph" w:styleId="765">
    <w:name w:val="annotation subject"/>
    <w:basedOn w:val="732"/>
    <w:next w:val="732"/>
    <w:link w:val="948"/>
    <w:uiPriority w:val="0"/>
    <w:qFormat/>
    <w:rPr>
      <w:b/>
      <w:bCs/>
    </w:rPr>
  </w:style>
  <w:style w:type="paragraph" w:styleId="766">
    <w:name w:val="Body Text First Indent 2"/>
    <w:basedOn w:val="736"/>
    <w:uiPriority w:val="0"/>
    <w:qFormat/>
    <w:pPr>
      <w:ind w:left="420" w:firstLine="420"/>
      <w:spacing w:after="120"/>
    </w:pPr>
    <w:rPr>
      <w:rFonts w:cs="宋体"/>
      <w:sz w:val="21"/>
      <w:szCs w:val="21"/>
    </w:rPr>
  </w:style>
  <w:style w:type="table" w:styleId="767">
    <w:name w:val="Table Grid"/>
    <w:basedOn w:val="726"/>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68">
    <w:name w:val="Strong"/>
    <w:basedOn w:val="725"/>
    <w:uiPriority w:val="0"/>
    <w:qFormat/>
    <w:rPr>
      <w:b/>
      <w:bCs/>
    </w:rPr>
  </w:style>
  <w:style w:type="character" w:styleId="769">
    <w:name w:val="endnote reference"/>
    <w:basedOn w:val="725"/>
    <w:uiPriority w:val="99"/>
    <w:semiHidden/>
    <w:unhideWhenUsed/>
    <w:qFormat/>
    <w:rPr>
      <w:vertAlign w:val="superscript"/>
    </w:rPr>
  </w:style>
  <w:style w:type="character" w:styleId="770">
    <w:name w:val="page number"/>
    <w:uiPriority w:val="0"/>
    <w:qFormat/>
  </w:style>
  <w:style w:type="character" w:styleId="771">
    <w:name w:val="FollowedHyperlink"/>
    <w:uiPriority w:val="0"/>
    <w:qFormat/>
    <w:rPr>
      <w:color w:val="800080"/>
      <w:u w:val="none"/>
    </w:rPr>
  </w:style>
  <w:style w:type="character" w:styleId="772">
    <w:name w:val="HTML Definition"/>
    <w:uiPriority w:val="0"/>
    <w:qFormat/>
  </w:style>
  <w:style w:type="character" w:styleId="773">
    <w:name w:val="HTML Typewriter"/>
    <w:uiPriority w:val="0"/>
    <w:qFormat/>
    <w:rPr>
      <w:rFonts w:hint="default" w:ascii="monospace" w:hAnsi="monospace" w:eastAsia="monospace" w:cs="monospace"/>
      <w:sz w:val="20"/>
    </w:rPr>
  </w:style>
  <w:style w:type="character" w:styleId="774">
    <w:name w:val="HTML Acronym"/>
    <w:basedOn w:val="725"/>
    <w:uiPriority w:val="0"/>
    <w:qFormat/>
  </w:style>
  <w:style w:type="character" w:styleId="775">
    <w:name w:val="HTML Variable"/>
    <w:uiPriority w:val="0"/>
    <w:qFormat/>
  </w:style>
  <w:style w:type="character" w:styleId="776">
    <w:name w:val="Hyperlink"/>
    <w:uiPriority w:val="99"/>
    <w:qFormat/>
    <w:rPr>
      <w:color w:val="0000ff"/>
      <w:u w:val="none"/>
    </w:rPr>
  </w:style>
  <w:style w:type="character" w:styleId="777">
    <w:name w:val="HTML Code"/>
    <w:uiPriority w:val="0"/>
    <w:qFormat/>
    <w:rPr>
      <w:rFonts w:ascii="monospace" w:hAnsi="monospace" w:eastAsia="monospace" w:cs="monospace"/>
      <w:sz w:val="20"/>
    </w:rPr>
  </w:style>
  <w:style w:type="character" w:styleId="778">
    <w:name w:val="annotation reference"/>
    <w:uiPriority w:val="0"/>
    <w:qFormat/>
    <w:rPr>
      <w:sz w:val="21"/>
      <w:szCs w:val="21"/>
    </w:rPr>
  </w:style>
  <w:style w:type="character" w:styleId="779">
    <w:name w:val="HTML Cite"/>
    <w:uiPriority w:val="0"/>
    <w:qFormat/>
  </w:style>
  <w:style w:type="character" w:styleId="780">
    <w:name w:val="footnote reference"/>
    <w:basedOn w:val="725"/>
    <w:uiPriority w:val="99"/>
    <w:unhideWhenUsed/>
    <w:qFormat/>
    <w:rPr>
      <w:vertAlign w:val="superscript"/>
    </w:rPr>
  </w:style>
  <w:style w:type="character" w:styleId="781">
    <w:name w:val="HTML Keyboard"/>
    <w:uiPriority w:val="0"/>
    <w:qFormat/>
    <w:rPr>
      <w:rFonts w:hint="default" w:ascii="monospace" w:hAnsi="monospace" w:eastAsia="monospace" w:cs="monospace"/>
      <w:sz w:val="20"/>
    </w:rPr>
  </w:style>
  <w:style w:type="character" w:styleId="782">
    <w:name w:val="HTML Sample"/>
    <w:uiPriority w:val="0"/>
    <w:qFormat/>
    <w:rPr>
      <w:rFonts w:hint="default" w:ascii="monospace" w:hAnsi="monospace" w:eastAsia="monospace" w:cs="monospace"/>
    </w:rPr>
  </w:style>
  <w:style w:type="character" w:styleId="783" w:customStyle="1">
    <w:name w:val="Heading 6 Char"/>
    <w:basedOn w:val="725"/>
    <w:uiPriority w:val="9"/>
    <w:qFormat/>
    <w:rPr>
      <w:rFonts w:ascii="Arial" w:hAnsi="Arial" w:eastAsia="Arial" w:cs="Arial"/>
      <w:b/>
      <w:bCs/>
      <w:sz w:val="22"/>
      <w:szCs w:val="22"/>
    </w:rPr>
  </w:style>
  <w:style w:type="character" w:styleId="784" w:customStyle="1">
    <w:name w:val="Heading 7 Char"/>
    <w:basedOn w:val="725"/>
    <w:uiPriority w:val="9"/>
    <w:qFormat/>
    <w:rPr>
      <w:rFonts w:ascii="Arial" w:hAnsi="Arial" w:eastAsia="Arial" w:cs="Arial"/>
      <w:b/>
      <w:bCs/>
      <w:i/>
      <w:iCs/>
      <w:sz w:val="22"/>
      <w:szCs w:val="22"/>
    </w:rPr>
  </w:style>
  <w:style w:type="character" w:styleId="785" w:customStyle="1">
    <w:name w:val="Heading 8 Char"/>
    <w:basedOn w:val="725"/>
    <w:uiPriority w:val="9"/>
    <w:qFormat/>
    <w:rPr>
      <w:rFonts w:ascii="Arial" w:hAnsi="Arial" w:eastAsia="Arial" w:cs="Arial"/>
      <w:i/>
      <w:iCs/>
      <w:sz w:val="22"/>
      <w:szCs w:val="22"/>
    </w:rPr>
  </w:style>
  <w:style w:type="character" w:styleId="786" w:customStyle="1">
    <w:name w:val="Heading 9 Char"/>
    <w:basedOn w:val="725"/>
    <w:uiPriority w:val="9"/>
    <w:qFormat/>
    <w:rPr>
      <w:rFonts w:ascii="Arial" w:hAnsi="Arial" w:eastAsia="Arial" w:cs="Arial"/>
      <w:i/>
      <w:iCs/>
      <w:sz w:val="21"/>
      <w:szCs w:val="21"/>
    </w:rPr>
  </w:style>
  <w:style w:type="character" w:styleId="787" w:customStyle="1">
    <w:name w:val="Title Char"/>
    <w:basedOn w:val="725"/>
    <w:uiPriority w:val="10"/>
    <w:qFormat/>
    <w:rPr>
      <w:sz w:val="48"/>
      <w:szCs w:val="48"/>
    </w:rPr>
  </w:style>
  <w:style w:type="character" w:styleId="788" w:customStyle="1">
    <w:name w:val="Quote Char"/>
    <w:uiPriority w:val="29"/>
    <w:qFormat/>
    <w:rPr>
      <w:i/>
    </w:rPr>
  </w:style>
  <w:style w:type="character" w:styleId="789" w:customStyle="1">
    <w:name w:val="Intense Quote Char"/>
    <w:uiPriority w:val="30"/>
    <w:qFormat/>
    <w:rPr>
      <w:i/>
    </w:rPr>
  </w:style>
  <w:style w:type="character" w:styleId="790" w:customStyle="1">
    <w:name w:val="Endnote Text Char"/>
    <w:uiPriority w:val="99"/>
    <w:qFormat/>
    <w:rPr>
      <w:sz w:val="20"/>
    </w:rPr>
  </w:style>
  <w:style w:type="paragraph" w:styleId="791" w:customStyle="1">
    <w:name w:val="TOC 标题1"/>
    <w:uiPriority w:val="39"/>
    <w:unhideWhenUsed/>
    <w:qFormat/>
    <w:rPr>
      <w:rFonts w:ascii="Times New Roman" w:hAnsi="Times New Roman" w:eastAsia="宋体" w:cs="Times New Roman"/>
      <w:lang w:val="en-US" w:eastAsia="zh-CN" w:bidi="ar-SA"/>
    </w:rPr>
  </w:style>
  <w:style w:type="character" w:styleId="792" w:customStyle="1">
    <w:name w:val="Heading 1 Char"/>
    <w:basedOn w:val="725"/>
    <w:uiPriority w:val="9"/>
    <w:qFormat/>
    <w:rPr>
      <w:rFonts w:ascii="Arial" w:hAnsi="Arial" w:eastAsia="Arial" w:cs="Arial"/>
      <w:sz w:val="40"/>
      <w:szCs w:val="40"/>
    </w:rPr>
  </w:style>
  <w:style w:type="character" w:styleId="793" w:customStyle="1">
    <w:name w:val="Heading 2 Char"/>
    <w:basedOn w:val="725"/>
    <w:uiPriority w:val="9"/>
    <w:qFormat/>
    <w:rPr>
      <w:rFonts w:ascii="Arial" w:hAnsi="Arial" w:eastAsia="Arial" w:cs="Arial"/>
      <w:sz w:val="34"/>
    </w:rPr>
  </w:style>
  <w:style w:type="character" w:styleId="794" w:customStyle="1">
    <w:name w:val="Heading 3 Char"/>
    <w:basedOn w:val="725"/>
    <w:uiPriority w:val="9"/>
    <w:qFormat/>
    <w:rPr>
      <w:rFonts w:ascii="Arial" w:hAnsi="Arial" w:eastAsia="Arial" w:cs="Arial"/>
      <w:sz w:val="30"/>
      <w:szCs w:val="30"/>
    </w:rPr>
  </w:style>
  <w:style w:type="character" w:styleId="795" w:customStyle="1">
    <w:name w:val="Heading 4 Char"/>
    <w:basedOn w:val="725"/>
    <w:uiPriority w:val="9"/>
    <w:qFormat/>
    <w:rPr>
      <w:rFonts w:ascii="Arial" w:hAnsi="Arial" w:eastAsia="Arial" w:cs="Arial"/>
      <w:b/>
      <w:bCs/>
      <w:sz w:val="26"/>
      <w:szCs w:val="26"/>
    </w:rPr>
  </w:style>
  <w:style w:type="character" w:styleId="796" w:customStyle="1">
    <w:name w:val="Heading 5 Char"/>
    <w:basedOn w:val="725"/>
    <w:uiPriority w:val="9"/>
    <w:qFormat/>
    <w:rPr>
      <w:rFonts w:ascii="Arial" w:hAnsi="Arial" w:eastAsia="Arial" w:cs="Arial"/>
      <w:b/>
      <w:bCs/>
      <w:sz w:val="24"/>
      <w:szCs w:val="24"/>
    </w:rPr>
  </w:style>
  <w:style w:type="character" w:styleId="797" w:customStyle="1">
    <w:name w:val="标题 6 Char"/>
    <w:basedOn w:val="725"/>
    <w:link w:val="721"/>
    <w:uiPriority w:val="9"/>
    <w:qFormat/>
    <w:rPr>
      <w:rFonts w:ascii="Arial" w:hAnsi="Arial" w:eastAsia="Arial" w:cs="Arial"/>
      <w:b/>
      <w:bCs/>
      <w:sz w:val="22"/>
      <w:szCs w:val="22"/>
    </w:rPr>
  </w:style>
  <w:style w:type="character" w:styleId="798" w:customStyle="1">
    <w:name w:val="标题 7 Char"/>
    <w:basedOn w:val="725"/>
    <w:link w:val="722"/>
    <w:uiPriority w:val="9"/>
    <w:qFormat/>
    <w:rPr>
      <w:rFonts w:ascii="Arial" w:hAnsi="Arial" w:eastAsia="Arial" w:cs="Arial"/>
      <w:b/>
      <w:bCs/>
      <w:i/>
      <w:iCs/>
      <w:sz w:val="22"/>
      <w:szCs w:val="22"/>
    </w:rPr>
  </w:style>
  <w:style w:type="character" w:styleId="799" w:customStyle="1">
    <w:name w:val="标题 8 Char"/>
    <w:basedOn w:val="725"/>
    <w:link w:val="723"/>
    <w:uiPriority w:val="9"/>
    <w:qFormat/>
    <w:rPr>
      <w:rFonts w:ascii="Arial" w:hAnsi="Arial" w:eastAsia="Arial" w:cs="Arial"/>
      <w:i/>
      <w:iCs/>
      <w:sz w:val="22"/>
      <w:szCs w:val="22"/>
    </w:rPr>
  </w:style>
  <w:style w:type="character" w:styleId="800" w:customStyle="1">
    <w:name w:val="标题 9 Char"/>
    <w:basedOn w:val="725"/>
    <w:link w:val="724"/>
    <w:uiPriority w:val="9"/>
    <w:qFormat/>
    <w:rPr>
      <w:rFonts w:ascii="Arial" w:hAnsi="Arial" w:eastAsia="Arial" w:cs="Arial"/>
      <w:i/>
      <w:iCs/>
      <w:sz w:val="21"/>
      <w:szCs w:val="21"/>
    </w:rPr>
  </w:style>
  <w:style w:type="paragraph" w:styleId="801">
    <w:name w:val="No Spacing"/>
    <w:uiPriority w:val="1"/>
    <w:qFormat/>
    <w:rPr>
      <w:rFonts w:ascii="Times New Roman" w:hAnsi="Times New Roman" w:eastAsia="宋体" w:cs="Times New Roman"/>
      <w:lang w:val="en-US" w:eastAsia="zh-CN" w:bidi="ar-SA"/>
    </w:rPr>
  </w:style>
  <w:style w:type="character" w:styleId="802" w:customStyle="1">
    <w:name w:val="标题 Char"/>
    <w:basedOn w:val="725"/>
    <w:link w:val="764"/>
    <w:uiPriority w:val="10"/>
    <w:qFormat/>
    <w:rPr>
      <w:sz w:val="48"/>
      <w:szCs w:val="48"/>
    </w:rPr>
  </w:style>
  <w:style w:type="character" w:styleId="803" w:customStyle="1">
    <w:name w:val="Subtitle Char"/>
    <w:basedOn w:val="725"/>
    <w:uiPriority w:val="11"/>
    <w:qFormat/>
    <w:rPr>
      <w:sz w:val="24"/>
      <w:szCs w:val="24"/>
    </w:rPr>
  </w:style>
  <w:style w:type="paragraph" w:styleId="804">
    <w:name w:val="Quote"/>
    <w:basedOn w:val="715"/>
    <w:next w:val="715"/>
    <w:link w:val="805"/>
    <w:uiPriority w:val="29"/>
    <w:qFormat/>
    <w:pPr>
      <w:ind w:left="720" w:right="720"/>
    </w:pPr>
    <w:rPr>
      <w:i/>
    </w:rPr>
  </w:style>
  <w:style w:type="character" w:styleId="805" w:customStyle="1">
    <w:name w:val="引用 Char"/>
    <w:link w:val="804"/>
    <w:uiPriority w:val="29"/>
    <w:qFormat/>
    <w:rPr>
      <w:i/>
    </w:rPr>
  </w:style>
  <w:style w:type="paragraph" w:styleId="806">
    <w:name w:val="Intense Quote"/>
    <w:basedOn w:val="715"/>
    <w:next w:val="715"/>
    <w:link w:val="80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7" w:customStyle="1">
    <w:name w:val="明显引用 Char"/>
    <w:link w:val="806"/>
    <w:uiPriority w:val="30"/>
    <w:qFormat/>
    <w:rPr>
      <w:i/>
    </w:rPr>
  </w:style>
  <w:style w:type="character" w:styleId="808" w:customStyle="1">
    <w:name w:val="Header Char"/>
    <w:basedOn w:val="725"/>
    <w:uiPriority w:val="99"/>
    <w:qFormat/>
  </w:style>
  <w:style w:type="character" w:styleId="809" w:customStyle="1">
    <w:name w:val="Footer Char"/>
    <w:basedOn w:val="725"/>
    <w:uiPriority w:val="99"/>
    <w:qFormat/>
  </w:style>
  <w:style w:type="character" w:styleId="810" w:customStyle="1">
    <w:name w:val="Caption Char"/>
    <w:uiPriority w:val="99"/>
    <w:qFormat/>
  </w:style>
  <w:style w:type="table" w:styleId="811" w:customStyle="1">
    <w:name w:val="Table Grid Light"/>
    <w:basedOn w:val="726"/>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12" w:customStyle="1">
    <w:name w:val="Plain Table 1"/>
    <w:basedOn w:val="726"/>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3" w:customStyle="1">
    <w:name w:val="Plain Table 2"/>
    <w:basedOn w:val="726"/>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4" w:customStyle="1">
    <w:name w:val="Plain Table 3"/>
    <w:basedOn w:val="726"/>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5" w:customStyle="1">
    <w:name w:val="Plain Table 4"/>
    <w:basedOn w:val="726"/>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6" w:customStyle="1">
    <w:name w:val="Plain Table 5"/>
    <w:basedOn w:val="726"/>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7" w:customStyle="1">
    <w:name w:val="Grid Table 1 Light"/>
    <w:basedOn w:val="726"/>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18" w:customStyle="1">
    <w:name w:val="Grid Table 1 Light - Accent 1"/>
    <w:basedOn w:val="726"/>
    <w:uiPriority w:val="99"/>
    <w:qFormat/>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b/>
        <w:color w:val="404040"/>
      </w:rPr>
    </w:tblStylePr>
    <w:tblStylePr w:type="firstRow">
      <w:rPr>
        <w:b/>
        <w:color w:val="404040"/>
      </w:rPr>
      <w:tcPr>
        <w:tcBorders>
          <w:bottom w:val="single" w:color="91ACDC" w:themeColor="accent1" w:themeTint="95" w:sz="12" w:space="0"/>
        </w:tcBorders>
      </w:tcPr>
    </w:tblStylePr>
    <w:tblStylePr w:type="lastCol">
      <w:rPr>
        <w:b/>
        <w:color w:val="404040"/>
      </w:rPr>
    </w:tblStylePr>
    <w:tblStylePr w:type="lastRow">
      <w:rPr>
        <w:b/>
        <w:color w:val="404040"/>
      </w:rPr>
    </w:tblStylePr>
  </w:style>
  <w:style w:type="table" w:styleId="819" w:customStyle="1">
    <w:name w:val="Grid Table 1 Light - Accent 2"/>
    <w:basedOn w:val="726"/>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20" w:customStyle="1">
    <w:name w:val="Grid Table 1 Light - Accent 3"/>
    <w:basedOn w:val="726"/>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21" w:customStyle="1">
    <w:name w:val="Grid Table 1 Light - Accent 4"/>
    <w:basedOn w:val="726"/>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22" w:customStyle="1">
    <w:name w:val="Grid Table 1 Light - Accent 5"/>
    <w:basedOn w:val="726"/>
    <w:uiPriority w:val="99"/>
    <w:qFormat/>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b/>
        <w:color w:val="404040"/>
      </w:rPr>
    </w:tblStylePr>
    <w:tblStylePr w:type="firstRow">
      <w:rPr>
        <w:b/>
        <w:color w:val="404040"/>
      </w:rPr>
      <w:tcPr>
        <w:tcBorders>
          <w:bottom w:val="single" w:color="9FC4E6" w:themeColor="accent5" w:themeTint="95" w:sz="12" w:space="0"/>
        </w:tcBorders>
      </w:tcPr>
    </w:tblStylePr>
    <w:tblStylePr w:type="lastCol">
      <w:rPr>
        <w:b/>
        <w:color w:val="404040"/>
      </w:rPr>
    </w:tblStylePr>
    <w:tblStylePr w:type="lastRow">
      <w:rPr>
        <w:b/>
        <w:color w:val="404040"/>
      </w:rPr>
    </w:tblStylePr>
  </w:style>
  <w:style w:type="table" w:styleId="823" w:customStyle="1">
    <w:name w:val="Grid Table 1 Light - Accent 6"/>
    <w:basedOn w:val="726"/>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24" w:customStyle="1">
    <w:name w:val="Grid Table 2"/>
    <w:basedOn w:val="726"/>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25" w:customStyle="1">
    <w:name w:val="Grid Table 2 - Accent 1"/>
    <w:basedOn w:val="726"/>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37DC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37DC8" w:themeColor="accent1" w:themeTint="EA" w:sz="4" w:space="0"/>
          <w:left w:val="none" w:color="000000" w:sz="4" w:space="0"/>
          <w:bottom w:val="none" w:color="000000" w:sz="4" w:space="0"/>
          <w:right w:val="none" w:color="000000" w:sz="4" w:space="0"/>
        </w:tcBorders>
      </w:tcPr>
    </w:tblStylePr>
  </w:style>
  <w:style w:type="table" w:styleId="826" w:customStyle="1">
    <w:name w:val="Grid Table 2 - Accent 2"/>
    <w:basedOn w:val="726"/>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27" w:customStyle="1">
    <w:name w:val="Grid Table 2 - Accent 3"/>
    <w:basedOn w:val="726"/>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28" w:customStyle="1">
    <w:name w:val="Grid Table 2 - Accent 4"/>
    <w:basedOn w:val="726"/>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29" w:customStyle="1">
    <w:name w:val="Grid Table 2 - Accent 5"/>
    <w:basedOn w:val="726"/>
    <w:uiPriority w:val="99"/>
    <w:qFormat/>
    <w:tblPr>
      <w:tblBorders>
        <w:bottom w:val="single" w:color="5B9BD5" w:themeColor="accent5" w:sz="4" w:space="0"/>
        <w:insideH w:val="single" w:color="5B9BD5" w:themeColor="accent5" w:sz="4" w:space="0"/>
        <w:insideV w:val="single" w:color="5B9BD5"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B9BD5"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B9BD5" w:themeColor="accent5" w:sz="4" w:space="0"/>
          <w:left w:val="none" w:color="000000" w:sz="4" w:space="0"/>
          <w:bottom w:val="none" w:color="000000" w:sz="4" w:space="0"/>
          <w:right w:val="none" w:color="000000" w:sz="4" w:space="0"/>
        </w:tcBorders>
      </w:tcPr>
    </w:tblStylePr>
  </w:style>
  <w:style w:type="table" w:styleId="830" w:customStyle="1">
    <w:name w:val="Grid Table 2 - Accent 6"/>
    <w:basedOn w:val="726"/>
    <w:uiPriority w:val="99"/>
    <w:qFormat/>
    <w:tblPr>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31" w:customStyle="1">
    <w:name w:val="Grid Table 3"/>
    <w:basedOn w:val="726"/>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2" w:customStyle="1">
    <w:name w:val="Grid Table 3 - Accent 1"/>
    <w:basedOn w:val="726"/>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3" w:customStyle="1">
    <w:name w:val="Grid Table 3 - Accent 2"/>
    <w:basedOn w:val="726"/>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4" w:customStyle="1">
    <w:name w:val="Grid Table 3 - Accent 3"/>
    <w:basedOn w:val="726"/>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5" w:customStyle="1">
    <w:name w:val="Grid Table 3 - Accent 4"/>
    <w:basedOn w:val="726"/>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6" w:customStyle="1">
    <w:name w:val="Grid Table 3 - Accent 5"/>
    <w:basedOn w:val="726"/>
    <w:uiPriority w:val="99"/>
    <w:qFormat/>
    <w:tblPr>
      <w:tblBorders>
        <w:bottom w:val="single" w:color="5B9BD5" w:themeColor="accent5" w:sz="4" w:space="0"/>
        <w:insideH w:val="single" w:color="5B9BD5" w:themeColor="accent5" w:sz="4" w:space="0"/>
        <w:insideV w:val="single" w:color="5B9BD5"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7" w:customStyle="1">
    <w:name w:val="Grid Table 3 - Accent 6"/>
    <w:basedOn w:val="726"/>
    <w:uiPriority w:val="99"/>
    <w:qFormat/>
    <w:tblPr>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8" w:customStyle="1">
    <w:name w:val="Grid Table 4"/>
    <w:basedOn w:val="726"/>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9" w:customStyle="1">
    <w:name w:val="Grid Table 4 - Accent 1"/>
    <w:basedOn w:val="726"/>
    <w:uiPriority w:val="59"/>
    <w:qFormat/>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3f3" w:themeColor="accent1" w:themeTint="32" w:fill="dae3f3" w:themeFill="accent1" w:themeFillTint="32"/>
      </w:tcPr>
    </w:tblStylePr>
    <w:tblStylePr w:type="band1Vert">
      <w:rPr>
        <w:rFonts w:ascii="Arial" w:hAnsi="Arial"/>
        <w:color w:val="404040"/>
        <w:sz w:val="22"/>
      </w:rPr>
      <w:tcPr>
        <w:shd w:val="clear" w:color="dae3f3"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537dc8" w:themeColor="accent1" w:themeTint="EA" w:fill="537dc8" w:themeFill="accent1" w:themeFillTint="EA"/>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tcPr>
    </w:tblStylePr>
    <w:tblStylePr w:type="lastCol">
      <w:rPr>
        <w:b/>
        <w:color w:val="404040"/>
      </w:rPr>
    </w:tblStylePr>
    <w:tblStylePr w:type="lastRow">
      <w:rPr>
        <w:b/>
        <w:color w:val="404040"/>
      </w:rPr>
      <w:tcPr>
        <w:tcBorders>
          <w:top w:val="single" w:color="537DC8" w:themeColor="accent1" w:themeTint="EA" w:sz="4" w:space="0"/>
        </w:tcBorders>
      </w:tcPr>
    </w:tblStylePr>
  </w:style>
  <w:style w:type="table" w:styleId="840" w:customStyle="1">
    <w:name w:val="Grid Table 4 - Accent 2"/>
    <w:basedOn w:val="726"/>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41" w:customStyle="1">
    <w:name w:val="Grid Table 4 - Accent 3"/>
    <w:basedOn w:val="726"/>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42" w:customStyle="1">
    <w:name w:val="Grid Table 4 - Accent 4"/>
    <w:basedOn w:val="726"/>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43" w:customStyle="1">
    <w:name w:val="Grid Table 4 - Accent 5"/>
    <w:basedOn w:val="726"/>
    <w:uiPriority w:val="59"/>
    <w:qFormat/>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rFonts w:ascii="Arial" w:hAnsi="Arial"/>
        <w:b/>
        <w:color w:val="ffffff"/>
        <w:sz w:val="22"/>
      </w:rPr>
      <w:tcPr>
        <w:shd w:val="clear" w:color="5b9bd5" w:themeColor="accent5" w:fill="5b9bd5" w:themeFill="accent5"/>
        <w:tcBorders>
          <w:top w:val="single" w:color="5B9BD5" w:themeColor="accent5" w:sz="4" w:space="0"/>
          <w:left w:val="single" w:color="5B9BD5" w:themeColor="accent5" w:sz="4" w:space="0"/>
          <w:bottom w:val="single" w:color="5B9BD5" w:themeColor="accent5" w:sz="4" w:space="0"/>
          <w:right w:val="single" w:color="5B9BD5" w:themeColor="accent5" w:sz="4" w:space="0"/>
        </w:tcBorders>
      </w:tcPr>
    </w:tblStylePr>
    <w:tblStylePr w:type="lastCol">
      <w:rPr>
        <w:b/>
        <w:color w:val="404040"/>
      </w:rPr>
    </w:tblStylePr>
    <w:tblStylePr w:type="lastRow">
      <w:rPr>
        <w:b/>
        <w:color w:val="404040"/>
      </w:rPr>
      <w:tcPr>
        <w:tcBorders>
          <w:top w:val="single" w:color="5B9BD5" w:themeColor="accent5" w:sz="4" w:space="0"/>
        </w:tcBorders>
      </w:tcPr>
    </w:tblStylePr>
  </w:style>
  <w:style w:type="table" w:styleId="844" w:customStyle="1">
    <w:name w:val="Grid Table 4 - Accent 6"/>
    <w:basedOn w:val="726"/>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45" w:customStyle="1">
    <w:name w:val="Grid Table 5 Dark"/>
    <w:basedOn w:val="72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46" w:customStyle="1">
    <w:name w:val="Grid Table 5 Dark- Accent 1"/>
    <w:basedOn w:val="72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9bee3" w:themeColor="accent1" w:themeTint="75" w:fill="a9bee3" w:themeFill="accent1" w:themeFillTint="75"/>
      </w:tcPr>
    </w:tblStylePr>
    <w:tblStylePr w:type="band1Vert">
      <w:tcPr>
        <w:shd w:val="clear" w:color="a9bee3" w:themeColor="accent1" w:themeTint="75" w:fill="a9bee3" w:themeFill="accent1" w:themeFillTint="75"/>
      </w:tcPr>
    </w:tblStylePr>
    <w:tblStylePr w:type="firstCol">
      <w:rPr>
        <w:rFonts w:ascii="Arial" w:hAnsi="Arial"/>
        <w:b/>
        <w:color w:val="ffffff"/>
        <w:sz w:val="22"/>
      </w:rPr>
      <w:tcPr>
        <w:shd w:val="clear" w:color="4472c4" w:themeColor="accent1" w:fill="4472c4" w:themeFill="accent1"/>
      </w:tcPr>
    </w:tblStylePr>
    <w:tblStylePr w:type="firstRow">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shd w:val="clear" w:color="4472c4" w:themeColor="accent1" w:fill="4472c4" w:themeFill="accent1"/>
        <w:tcBorders>
          <w:top w:val="single" w:color="FFFFFF" w:themeColor="light1" w:sz="4" w:space="0"/>
        </w:tcBorders>
      </w:tcPr>
    </w:tblStylePr>
  </w:style>
  <w:style w:type="table" w:styleId="847" w:customStyle="1">
    <w:name w:val="Grid Table 5 Dark - Accent 2"/>
    <w:basedOn w:val="72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48" w:customStyle="1">
    <w:name w:val="Grid Table 5 Dark - Accent 3"/>
    <w:basedOn w:val="72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49" w:customStyle="1">
    <w:name w:val="Grid Table 5 Dark- Accent 4"/>
    <w:basedOn w:val="72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50" w:customStyle="1">
    <w:name w:val="Grid Table 5 Dark - Accent 5"/>
    <w:basedOn w:val="72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3d1eb" w:themeColor="accent5" w:themeTint="75" w:fill="b3d1eb" w:themeFill="accent5" w:themeFillTint="75"/>
      </w:tcPr>
    </w:tblStylePr>
    <w:tblStylePr w:type="band1Vert">
      <w:tcPr>
        <w:shd w:val="clear" w:color="b3d1eb" w:themeColor="accent5" w:themeTint="75" w:fill="b3d1eb" w:themeFill="accent5" w:themeFillTint="75"/>
      </w:tcPr>
    </w:tblStylePr>
    <w:tblStylePr w:type="firstCol">
      <w:rPr>
        <w:rFonts w:ascii="Arial" w:hAnsi="Arial"/>
        <w:b/>
        <w:color w:val="ffffff"/>
        <w:sz w:val="22"/>
      </w:rPr>
      <w:tcPr>
        <w:shd w:val="clear" w:color="5b9bd5" w:themeColor="accent5" w:fill="5b9bd5" w:themeFill="accent5"/>
      </w:tcPr>
    </w:tblStylePr>
    <w:tblStylePr w:type="firstRow">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shd w:val="clear" w:color="5b9bd5" w:themeColor="accent5" w:fill="5b9bd5" w:themeFill="accent5"/>
        <w:tcBorders>
          <w:top w:val="single" w:color="FFFFFF" w:themeColor="light1" w:sz="4" w:space="0"/>
        </w:tcBorders>
      </w:tcPr>
    </w:tblStylePr>
  </w:style>
  <w:style w:type="table" w:styleId="851" w:customStyle="1">
    <w:name w:val="Grid Table 5 Dark - Accent 6"/>
    <w:basedOn w:val="72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52" w:customStyle="1">
    <w:name w:val="Grid Table 6 Colorful"/>
    <w:basedOn w:val="726"/>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53" w:customStyle="1">
    <w:name w:val="Grid Table 6 Colorful - Accent 1"/>
    <w:basedOn w:val="726"/>
    <w:uiPriority w:val="99"/>
    <w:qFormat/>
    <w:tblPr>
      <w:tblBorders>
        <w:top w:val="single" w:color="A1B8E1" w:themeColor="accent1" w:themeTint="80" w:sz="4" w:space="0"/>
        <w:left w:val="single" w:color="A1B8E1" w:themeColor="accent1" w:themeTint="80" w:sz="4" w:space="0"/>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CellMar>
        <w:left w:w="108" w:type="dxa"/>
        <w:top w:w="0" w:type="dxa"/>
        <w:right w:w="108" w:type="dxa"/>
        <w:bottom w:w="0" w:type="dxa"/>
      </w:tblCellMar>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b/>
        <w:color w:val="a2b9e2" w:themeColor="accent1" w:themeTint="80"/>
        <w14:textFill>
          <w14:solidFill>
            <w14:schemeClr w14:val="accent1">
              <w14:lumMod w14:val="50000"/>
              <w14:lumOff w14:val="50000"/>
            </w14:schemeClr>
          </w14:solidFill>
        </w14:textFill>
      </w:rPr>
    </w:tblStylePr>
    <w:tblStylePr w:type="firstRow">
      <w:rPr>
        <w:b/>
        <w:color w:val="a2b9e2" w:themeColor="accent1" w:themeTint="80"/>
        <w14:textFill>
          <w14:solidFill>
            <w14:schemeClr w14:val="accent1">
              <w14:lumMod w14:val="50000"/>
              <w14:lumOff w14:val="50000"/>
            </w14:schemeClr>
          </w14:solidFill>
        </w14:textFill>
      </w:rPr>
      <w:tcPr>
        <w:tcBorders>
          <w:bottom w:val="single" w:color="A1B8E1" w:themeColor="accent1" w:themeTint="80" w:sz="12" w:space="0"/>
        </w:tcBorders>
      </w:tcPr>
    </w:tblStylePr>
    <w:tblStylePr w:type="lastCol">
      <w:rPr>
        <w:b/>
        <w:color w:val="a2b9e2" w:themeColor="accent1" w:themeTint="80"/>
        <w14:textFill>
          <w14:solidFill>
            <w14:schemeClr w14:val="accent1">
              <w14:lumMod w14:val="50000"/>
              <w14:lumOff w14:val="50000"/>
            </w14:schemeClr>
          </w14:solidFill>
        </w14:textFill>
      </w:rPr>
    </w:tblStylePr>
    <w:tblStylePr w:type="lastRow">
      <w:rPr>
        <w:b/>
        <w:color w:val="a2b9e2" w:themeColor="accent1" w:themeTint="80"/>
        <w14:textFill>
          <w14:solidFill>
            <w14:schemeClr w14:val="accent1">
              <w14:lumMod w14:val="50000"/>
              <w14:lumOff w14:val="50000"/>
            </w14:schemeClr>
          </w14:solidFill>
        </w14:textFill>
      </w:rPr>
    </w:tblStylePr>
  </w:style>
  <w:style w:type="table" w:styleId="854" w:customStyle="1">
    <w:name w:val="Grid Table 6 Colorful - Accent 2"/>
    <w:basedOn w:val="726"/>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855" w:customStyle="1">
    <w:name w:val="Grid Table 6 Colorful - Accent 3"/>
    <w:basedOn w:val="726"/>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856" w:customStyle="1">
    <w:name w:val="Grid Table 6 Colorful - Accent 4"/>
    <w:basedOn w:val="726"/>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857" w:customStyle="1">
    <w:name w:val="Grid Table 6 Colorful - Accent 5"/>
    <w:basedOn w:val="726"/>
    <w:uiPriority w:val="99"/>
    <w:qFormat/>
    <w:tblPr>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CellMar>
        <w:left w:w="108" w:type="dxa"/>
        <w:top w:w="0" w:type="dxa"/>
        <w:right w:w="108" w:type="dxa"/>
        <w:bottom w:w="0" w:type="dxa"/>
      </w:tblCellMar>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5B9BD5" w:themeColor="accent5" w:sz="12" w:space="0"/>
        </w:tcBorders>
      </w:tcPr>
    </w:tblStylePr>
    <w:tblStylePr w:type="lastCol">
      <w:rPr>
        <w:b/>
        <w:color w:val="245b8c" w:themeColor="accent5" w:themeShade="94"/>
      </w:rPr>
    </w:tblStylePr>
    <w:tblStylePr w:type="lastRow">
      <w:rPr>
        <w:b/>
        <w:color w:val="245b8c" w:themeColor="accent5" w:themeShade="94"/>
      </w:rPr>
    </w:tblStylePr>
  </w:style>
  <w:style w:type="table" w:styleId="858" w:customStyle="1">
    <w:name w:val="Grid Table 6 Colorful - Accent 6"/>
    <w:basedOn w:val="726"/>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245b8c"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70AD47" w:themeColor="accent6" w:sz="12" w:space="0"/>
        </w:tcBorders>
      </w:tcPr>
    </w:tblStylePr>
    <w:tblStylePr w:type="lastCol">
      <w:rPr>
        <w:b/>
        <w:color w:val="245b8c" w:themeColor="accent5" w:themeShade="94"/>
      </w:rPr>
    </w:tblStylePr>
    <w:tblStylePr w:type="lastRow">
      <w:rPr>
        <w:b/>
        <w:color w:val="245b8c" w:themeColor="accent5" w:themeShade="94"/>
      </w:rPr>
    </w:tblStylePr>
  </w:style>
  <w:style w:type="table" w:styleId="859" w:customStyle="1">
    <w:name w:val="Grid Table 7 Colorful"/>
    <w:basedOn w:val="726"/>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0" w:customStyle="1">
    <w:name w:val="Grid Table 7 Colorful - Accent 1"/>
    <w:basedOn w:val="726"/>
    <w:uiPriority w:val="99"/>
    <w:qFormat/>
    <w:tblPr>
      <w:tblBorders>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CellMar>
        <w:left w:w="108" w:type="dxa"/>
        <w:top w:w="0" w:type="dxa"/>
        <w:right w:w="108" w:type="dxa"/>
        <w:bottom w:w="0" w:type="dxa"/>
      </w:tblCellMar>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rFonts w:ascii="Arial" w:hAnsi="Arial"/>
        <w:i/>
        <w:color w:val="a2b9e2"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1B8E1" w:themeColor="accent1" w:themeTint="80" w:sz="4" w:space="0"/>
        </w:tcBorders>
      </w:tcPr>
    </w:tblStylePr>
    <w:tblStylePr w:type="fir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1B8E1" w:themeColor="accent1" w:themeTint="80" w:sz="4" w:space="0"/>
          <w:right w:val="none" w:color="000000" w:sz="4" w:space="0"/>
        </w:tcBorders>
      </w:tcPr>
    </w:tblStylePr>
    <w:tblStylePr w:type="lastCol">
      <w:rPr>
        <w:rFonts w:ascii="Arial" w:hAnsi="Arial"/>
        <w:i/>
        <w:color w:val="a2b9e2"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1B8E1" w:themeColor="accent1" w:themeTint="80" w:sz="4" w:space="0"/>
          <w:bottom w:val="none" w:color="000000" w:sz="4" w:space="0"/>
          <w:right w:val="none" w:color="000000" w:sz="4" w:space="0"/>
        </w:tcBorders>
      </w:tcPr>
    </w:tblStylePr>
    <w:tblStylePr w:type="la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1B8E1" w:themeColor="accent1" w:themeTint="80" w:sz="4" w:space="0"/>
          <w:left w:val="none" w:color="000000" w:sz="4" w:space="0"/>
          <w:bottom w:val="none" w:color="000000" w:sz="4" w:space="0"/>
          <w:right w:val="none" w:color="000000" w:sz="4" w:space="0"/>
        </w:tcBorders>
      </w:tcPr>
    </w:tblStylePr>
  </w:style>
  <w:style w:type="table" w:styleId="861" w:customStyle="1">
    <w:name w:val="Grid Table 7 Colorful - Accent 2"/>
    <w:basedOn w:val="726"/>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62" w:customStyle="1">
    <w:name w:val="Grid Table 7 Colorful - Accent 3"/>
    <w:basedOn w:val="726"/>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63" w:customStyle="1">
    <w:name w:val="Grid Table 7 Colorful - Accent 4"/>
    <w:basedOn w:val="726"/>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64" w:customStyle="1">
    <w:name w:val="Grid Table 7 Colorful - Accent 5"/>
    <w:basedOn w:val="726"/>
    <w:uiPriority w:val="99"/>
    <w:qFormat/>
    <w:tblPr>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CellMar>
        <w:left w:w="108" w:type="dxa"/>
        <w:top w:w="0" w:type="dxa"/>
        <w:right w:w="108" w:type="dxa"/>
        <w:bottom w:w="0" w:type="dxa"/>
      </w:tblCellMar>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rFonts w:ascii="Arial" w:hAnsi="Arial"/>
        <w:i/>
        <w:color w:val="245b8c" w:themeColor="accent5" w:themeShade="94"/>
        <w:sz w:val="22"/>
      </w:rPr>
      <w:pPr>
        <w:jc w:val="right"/>
      </w:pPr>
      <w:tcPr>
        <w:shd w:val="clear" w:color="ffffff" w:fill="auto"/>
        <w:tcBorders>
          <w:top w:val="none" w:color="000000" w:sz="4" w:space="0"/>
          <w:left w:val="none" w:color="000000" w:sz="4" w:space="0"/>
          <w:bottom w:val="none" w:color="000000" w:sz="4" w:space="0"/>
          <w:right w:val="single" w:color="A2C6E7" w:themeColor="accent5" w:themeTint="90" w:sz="4" w:space="0"/>
        </w:tcBorders>
      </w:tcPr>
    </w:tblStylePr>
    <w:tblStylePr w:type="firstRow">
      <w:rPr>
        <w:rFonts w:ascii="Arial" w:hAnsi="Arial"/>
        <w:b/>
        <w:color w:val="245b8c" w:themeColor="accent5" w:themeShade="94"/>
        <w:sz w:val="22"/>
      </w:rPr>
      <w:tcPr>
        <w:shd w:val="clear" w:color="ffffff" w:themeColor="light1" w:fill="ffffff" w:themeFill="light1"/>
        <w:tcBorders>
          <w:top w:val="none" w:color="000000" w:sz="4" w:space="0"/>
          <w:left w:val="none" w:color="000000" w:sz="4" w:space="0"/>
          <w:bottom w:val="single" w:color="A2C6E7" w:themeColor="accent5" w:themeTint="90" w:sz="4" w:space="0"/>
          <w:right w:val="none" w:color="000000" w:sz="4" w:space="0"/>
        </w:tcBorders>
      </w:tcPr>
    </w:tblStylePr>
    <w:tblStylePr w:type="lastCol">
      <w:rPr>
        <w:rFonts w:ascii="Arial" w:hAnsi="Arial"/>
        <w:i/>
        <w:color w:val="245b8c" w:themeColor="accent5" w:themeShade="94"/>
        <w:sz w:val="22"/>
      </w:rPr>
      <w:tcPr>
        <w:shd w:val="clear" w:color="ffffff" w:fill="auto"/>
        <w:tcBorders>
          <w:top w:val="none" w:color="000000" w:sz="4" w:space="0"/>
          <w:left w:val="single" w:color="A2C6E7" w:themeColor="accent5" w:themeTint="90" w:sz="4" w:space="0"/>
          <w:bottom w:val="none" w:color="000000" w:sz="4" w:space="0"/>
          <w:right w:val="none" w:color="000000" w:sz="4" w:space="0"/>
        </w:tcBorders>
      </w:tcPr>
    </w:tblStylePr>
    <w:tblStylePr w:type="lastRow">
      <w:rPr>
        <w:rFonts w:ascii="Arial" w:hAnsi="Arial"/>
        <w:b/>
        <w:color w:val="245b8c" w:themeColor="accent5" w:themeShade="94"/>
        <w:sz w:val="22"/>
      </w:rPr>
      <w:tcPr>
        <w:shd w:val="clear" w:color="ffffff" w:themeColor="light1" w:fill="ffffff" w:themeFill="light1"/>
        <w:tcBorders>
          <w:top w:val="single" w:color="A2C6E7" w:themeColor="accent5" w:themeTint="90" w:sz="4" w:space="0"/>
          <w:left w:val="none" w:color="000000" w:sz="4" w:space="0"/>
          <w:bottom w:val="none" w:color="000000" w:sz="4" w:space="0"/>
          <w:right w:val="none" w:color="000000" w:sz="4" w:space="0"/>
        </w:tcBorders>
      </w:tcPr>
    </w:tblStylePr>
  </w:style>
  <w:style w:type="table" w:styleId="865" w:customStyle="1">
    <w:name w:val="Grid Table 7 Colorful - Accent 6"/>
    <w:basedOn w:val="726"/>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66" w:customStyle="1">
    <w:name w:val="List Table 1 Light"/>
    <w:basedOn w:val="726"/>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7" w:customStyle="1">
    <w:name w:val="List Table 1 Light - Accent 1"/>
    <w:basedOn w:val="726"/>
    <w:uiPriority w:val="99"/>
    <w:qFormat/>
    <w:tblPr>
      <w:tblCellMar>
        <w:left w:w="108" w:type="dxa"/>
        <w:top w:w="0" w:type="dxa"/>
        <w:right w:w="108" w:type="dxa"/>
        <w:bottom w:w="0" w:type="dxa"/>
      </w:tblCellMar>
    </w:tblPr>
    <w:tblStylePr w:type="band1Horz">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1" w:sz="4" w:space="0"/>
          <w:right w:val="none" w:color="000000" w:sz="4" w:space="0"/>
        </w:tcBorders>
      </w:tcPr>
    </w:tblStylePr>
    <w:tblStylePr w:type="lastCol">
      <w:rPr>
        <w:b/>
        <w:color w:val="404040"/>
      </w:rPr>
    </w:tblStylePr>
    <w:tblStylePr w:type="lastRow">
      <w:rPr>
        <w:b/>
        <w:color w:val="404040"/>
      </w:rPr>
      <w:tcPr>
        <w:tcBorders>
          <w:top w:val="single" w:color="4472C4" w:themeColor="accent1" w:sz="4" w:space="0"/>
          <w:left w:val="none" w:color="000000" w:sz="4" w:space="0"/>
          <w:bottom w:val="none" w:color="000000" w:sz="4" w:space="0"/>
          <w:right w:val="none" w:color="000000" w:sz="4" w:space="0"/>
        </w:tcBorders>
      </w:tcPr>
    </w:tblStylePr>
  </w:style>
  <w:style w:type="table" w:styleId="868" w:customStyle="1">
    <w:name w:val="List Table 1 Light - Accent 2"/>
    <w:basedOn w:val="726"/>
    <w:uiPriority w:val="99"/>
    <w:qFormat/>
    <w:tblPr>
      <w:tblCellMar>
        <w:left w:w="108" w:type="dxa"/>
        <w:top w:w="0" w:type="dxa"/>
        <w:right w:w="108" w:type="dxa"/>
        <w:bottom w:w="0" w:type="dxa"/>
      </w:tblCellMa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69" w:customStyle="1">
    <w:name w:val="List Table 1 Light - Accent 3"/>
    <w:basedOn w:val="726"/>
    <w:uiPriority w:val="99"/>
    <w:qFormat/>
    <w:tblPr>
      <w:tblCellMar>
        <w:left w:w="108" w:type="dxa"/>
        <w:top w:w="0" w:type="dxa"/>
        <w:right w:w="108" w:type="dxa"/>
        <w:bottom w:w="0" w:type="dxa"/>
      </w:tblCellMa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70" w:customStyle="1">
    <w:name w:val="List Table 1 Light - Accent 4"/>
    <w:basedOn w:val="726"/>
    <w:uiPriority w:val="99"/>
    <w:qFormat/>
    <w:tblPr>
      <w:tblCellMar>
        <w:left w:w="108" w:type="dxa"/>
        <w:top w:w="0" w:type="dxa"/>
        <w:right w:w="108" w:type="dxa"/>
        <w:bottom w:w="0" w:type="dxa"/>
      </w:tblCellMa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71" w:customStyle="1">
    <w:name w:val="List Table 1 Light - Accent 5"/>
    <w:basedOn w:val="726"/>
    <w:uiPriority w:val="99"/>
    <w:qFormat/>
    <w:tblPr>
      <w:tblCellMar>
        <w:left w:w="108" w:type="dxa"/>
        <w:top w:w="0" w:type="dxa"/>
        <w:right w:w="108" w:type="dxa"/>
        <w:bottom w:w="0" w:type="dxa"/>
      </w:tblCellMar>
    </w:tblPr>
    <w:tblStylePr w:type="band1Horz">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5" w:sz="4" w:space="0"/>
          <w:right w:val="none" w:color="000000" w:sz="4" w:space="0"/>
        </w:tcBorders>
      </w:tcPr>
    </w:tblStylePr>
    <w:tblStylePr w:type="lastCol">
      <w:rPr>
        <w:b/>
        <w:color w:val="404040"/>
      </w:rPr>
    </w:tblStylePr>
    <w:tblStylePr w:type="lastRow">
      <w:rPr>
        <w:b/>
        <w:color w:val="404040"/>
      </w:rPr>
      <w:tcPr>
        <w:tcBorders>
          <w:top w:val="single" w:color="5B9BD5" w:themeColor="accent5" w:sz="4" w:space="0"/>
          <w:left w:val="none" w:color="000000" w:sz="4" w:space="0"/>
          <w:bottom w:val="none" w:color="000000" w:sz="4" w:space="0"/>
          <w:right w:val="none" w:color="000000" w:sz="4" w:space="0"/>
        </w:tcBorders>
      </w:tcPr>
    </w:tblStylePr>
  </w:style>
  <w:style w:type="table" w:styleId="872" w:customStyle="1">
    <w:name w:val="List Table 1 Light - Accent 6"/>
    <w:basedOn w:val="726"/>
    <w:uiPriority w:val="99"/>
    <w:qFormat/>
    <w:tblPr>
      <w:tblCellMar>
        <w:left w:w="108" w:type="dxa"/>
        <w:top w:w="0" w:type="dxa"/>
        <w:right w:w="108" w:type="dxa"/>
        <w:bottom w:w="0" w:type="dxa"/>
      </w:tblCellMa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73" w:customStyle="1">
    <w:name w:val="List Table 2"/>
    <w:basedOn w:val="726"/>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74" w:customStyle="1">
    <w:name w:val="List Table 2 - Accent 1"/>
    <w:basedOn w:val="726"/>
    <w:uiPriority w:val="99"/>
    <w:qFormat/>
    <w:tblPr>
      <w:tblBorders>
        <w:top w:val="single" w:color="95AFDD" w:themeColor="accent1" w:themeTint="90" w:sz="4" w:space="0"/>
        <w:bottom w:val="single" w:color="95AFDD" w:themeColor="accent1" w:themeTint="90" w:sz="4" w:space="0"/>
        <w:insideH w:val="single" w:color="95AFDD"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style>
  <w:style w:type="table" w:styleId="875" w:customStyle="1">
    <w:name w:val="List Table 2 - Accent 2"/>
    <w:basedOn w:val="726"/>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76" w:customStyle="1">
    <w:name w:val="List Table 2 - Accent 3"/>
    <w:basedOn w:val="726"/>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77" w:customStyle="1">
    <w:name w:val="List Table 2 - Accent 4"/>
    <w:basedOn w:val="726"/>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78" w:customStyle="1">
    <w:name w:val="List Table 2 - Accent 5"/>
    <w:basedOn w:val="726"/>
    <w:uiPriority w:val="99"/>
    <w:qFormat/>
    <w:tblPr>
      <w:tblBorders>
        <w:top w:val="single" w:color="A2C6E7" w:themeColor="accent5" w:themeTint="90" w:sz="4" w:space="0"/>
        <w:bottom w:val="single" w:color="A2C6E7" w:themeColor="accent5" w:themeTint="90" w:sz="4" w:space="0"/>
        <w:insideH w:val="single" w:color="A2C6E7"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style>
  <w:style w:type="table" w:styleId="879" w:customStyle="1">
    <w:name w:val="List Table 2 - Accent 6"/>
    <w:basedOn w:val="726"/>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80" w:customStyle="1">
    <w:name w:val="List Table 3"/>
    <w:basedOn w:val="726"/>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1" w:customStyle="1">
    <w:name w:val="List Table 3 - Accent 1"/>
    <w:basedOn w:val="726"/>
    <w:uiPriority w:val="99"/>
    <w:qFormat/>
    <w:tblPr>
      <w:tblBorders>
        <w:top w:val="single" w:color="4472C4" w:themeColor="accent1" w:sz="4" w:space="0"/>
        <w:left w:val="single" w:color="4472C4" w:themeColor="accent1" w:sz="4" w:space="0"/>
        <w:bottom w:val="single" w:color="4472C4" w:themeColor="accent1" w:sz="4" w:space="0"/>
        <w:right w:val="single" w:color="4472C4"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4472C4" w:themeColor="accent1" w:sz="4" w:space="0"/>
          <w:bottom w:val="single" w:color="4472C4" w:themeColor="accent1" w:sz="4" w:space="0"/>
        </w:tcBorders>
      </w:tc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882" w:customStyle="1">
    <w:name w:val="List Table 3 - Accent 2"/>
    <w:basedOn w:val="726"/>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883" w:customStyle="1">
    <w:name w:val="List Table 3 - Accent 3"/>
    <w:basedOn w:val="726"/>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84" w:customStyle="1">
    <w:name w:val="List Table 3 - Accent 4"/>
    <w:basedOn w:val="726"/>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885" w:customStyle="1">
    <w:name w:val="List Table 3 - Accent 5"/>
    <w:basedOn w:val="726"/>
    <w:uiPriority w:val="99"/>
    <w:qFormat/>
    <w:tblPr>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firstCol">
      <w:rPr>
        <w:b/>
        <w:color w:val="404040"/>
      </w:rPr>
    </w:tblStylePr>
    <w:tblStylePr w:type="firstRow">
      <w:rPr>
        <w:rFonts w:ascii="Arial" w:hAnsi="Arial"/>
        <w:b/>
        <w:color w:val="ffffff"/>
        <w:sz w:val="22"/>
      </w:rPr>
      <w:tcPr>
        <w:shd w:val="clear" w:color="9bc2e5" w:themeColor="accent5" w:themeTint="9A" w:fill="9bc2e5" w:themeFill="accent5" w:themeFillTint="9A"/>
      </w:tcPr>
    </w:tblStylePr>
    <w:tblStylePr w:type="lastCol">
      <w:rPr>
        <w:b/>
        <w:color w:val="404040"/>
      </w:rPr>
    </w:tblStylePr>
    <w:tblStylePr w:type="lastRow">
      <w:rPr>
        <w:b/>
        <w:color w:val="404040"/>
      </w:rPr>
    </w:tblStylePr>
  </w:style>
  <w:style w:type="table" w:styleId="886" w:customStyle="1">
    <w:name w:val="List Table 3 - Accent 6"/>
    <w:basedOn w:val="726"/>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87" w:customStyle="1">
    <w:name w:val="List Table 4"/>
    <w:basedOn w:val="726"/>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8" w:customStyle="1">
    <w:name w:val="List Table 4 - Accent 1"/>
    <w:basedOn w:val="726"/>
    <w:uiPriority w:val="99"/>
    <w:qFormat/>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889" w:customStyle="1">
    <w:name w:val="List Table 4 - Accent 2"/>
    <w:basedOn w:val="726"/>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90" w:customStyle="1">
    <w:name w:val="List Table 4 - Accent 3"/>
    <w:basedOn w:val="726"/>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91" w:customStyle="1">
    <w:name w:val="List Table 4 - Accent 4"/>
    <w:basedOn w:val="726"/>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92" w:customStyle="1">
    <w:name w:val="List Table 4 - Accent 5"/>
    <w:basedOn w:val="726"/>
    <w:uiPriority w:val="99"/>
    <w:qFormat/>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b/>
        <w:color w:val="404040"/>
      </w:rPr>
    </w:tblStylePr>
    <w:tblStylePr w:type="firstRow">
      <w:rPr>
        <w:rFonts w:ascii="Arial" w:hAnsi="Arial"/>
        <w:b/>
        <w:color w:val="ffffff"/>
        <w:sz w:val="22"/>
      </w:rPr>
      <w:tcPr>
        <w:shd w:val="clear" w:color="5b9bd5" w:themeColor="accent5" w:fill="5b9bd5" w:themeFill="accent5"/>
      </w:tcPr>
    </w:tblStylePr>
    <w:tblStylePr w:type="lastCol">
      <w:rPr>
        <w:b/>
        <w:color w:val="404040"/>
      </w:rPr>
    </w:tblStylePr>
    <w:tblStylePr w:type="lastRow">
      <w:rPr>
        <w:b/>
        <w:color w:val="404040"/>
      </w:rPr>
    </w:tblStylePr>
  </w:style>
  <w:style w:type="table" w:styleId="893" w:customStyle="1">
    <w:name w:val="List Table 4 - Accent 6"/>
    <w:basedOn w:val="726"/>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94" w:customStyle="1">
    <w:name w:val="List Table 5 Dark"/>
    <w:basedOn w:val="726"/>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5" w:customStyle="1">
    <w:name w:val="List Table 5 Dark - Accent 1"/>
    <w:basedOn w:val="726"/>
    <w:uiPriority w:val="99"/>
    <w:qFormat/>
    <w:tblPr>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tblCellMar>
        <w:left w:w="108" w:type="dxa"/>
        <w:top w:w="0" w:type="dxa"/>
        <w:right w:w="108" w:type="dxa"/>
        <w:bottom w:w="0" w:type="dxa"/>
      </w:tblCellMar>
    </w:tblPr>
    <w:tblStylePr w:type="band1Horz">
      <w:tcPr>
        <w:shd w:val="clear" w:color="4472c4" w:themeColor="accent1" w:fill="4472c4" w:themeFill="accent1"/>
        <w:tcBorders>
          <w:top w:val="single" w:color="FFFFFF" w:themeColor="light1" w:sz="4" w:space="0"/>
          <w:bottom w:val="single" w:color="FFFFFF" w:themeColor="light1" w:sz="4" w:space="0"/>
        </w:tcBorders>
      </w:tcPr>
    </w:tblStylePr>
    <w:tblStylePr w:type="band1Vert">
      <w:tcPr>
        <w:shd w:val="clear" w:color="4472c4" w:themeColor="accent1" w:fill="4472c4" w:themeFill="accent1"/>
        <w:tcBorders>
          <w:left w:val="single" w:color="FFFFFF" w:themeColor="light1" w:sz="4" w:space="0"/>
          <w:right w:val="single" w:color="FFFFFF" w:themeColor="light1" w:sz="4" w:space="0"/>
        </w:tcBorders>
      </w:tcPr>
    </w:tblStylePr>
    <w:tblStylePr w:type="band2Horz">
      <w:tcPr>
        <w:shd w:val="clear" w:color="4472c4" w:themeColor="accent1" w:fill="4472c4"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472C4"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472c4" w:themeColor="accent1" w:fill="4472c4" w:themeFill="accent1"/>
        <w:tcBorders>
          <w:top w:val="single" w:color="4472C4" w:themeColor="accent1" w:sz="32" w:space="0"/>
          <w:bottom w:val="single" w:color="FFFFFF" w:themeColor="light1" w:sz="12" w:space="0"/>
        </w:tcBorders>
      </w:tcPr>
    </w:tblStylePr>
    <w:tblStylePr w:type="lastCol">
      <w:tcPr>
        <w:tcBorders>
          <w:left w:val="single" w:color="FFFFFF" w:themeColor="light1" w:sz="4" w:space="0"/>
          <w:right w:val="single" w:color="4472C4"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6" w:customStyle="1">
    <w:name w:val="List Table 5 Dark - Accent 2"/>
    <w:basedOn w:val="726"/>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CellMar>
        <w:left w:w="108" w:type="dxa"/>
        <w:top w:w="0" w:type="dxa"/>
        <w:right w:w="108" w:type="dxa"/>
        <w:bottom w:w="0" w:type="dxa"/>
      </w:tblCellMar>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7" w:customStyle="1">
    <w:name w:val="List Table 5 Dark - Accent 3"/>
    <w:basedOn w:val="726"/>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CellMar>
        <w:left w:w="108" w:type="dxa"/>
        <w:top w:w="0" w:type="dxa"/>
        <w:right w:w="108" w:type="dxa"/>
        <w:bottom w:w="0" w:type="dxa"/>
      </w:tblCellMar>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8" w:customStyle="1">
    <w:name w:val="List Table 5 Dark - Accent 4"/>
    <w:basedOn w:val="726"/>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CellMar>
        <w:left w:w="108" w:type="dxa"/>
        <w:top w:w="0" w:type="dxa"/>
        <w:right w:w="108" w:type="dxa"/>
        <w:bottom w:w="0" w:type="dxa"/>
      </w:tblCellMar>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9" w:customStyle="1">
    <w:name w:val="List Table 5 Dark - Accent 5"/>
    <w:basedOn w:val="726"/>
    <w:uiPriority w:val="99"/>
    <w:qFormat/>
    <w:tblPr>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tblCellMar>
        <w:left w:w="108" w:type="dxa"/>
        <w:top w:w="0" w:type="dxa"/>
        <w:right w:w="108" w:type="dxa"/>
        <w:bottom w:w="0" w:type="dxa"/>
      </w:tblCellMar>
    </w:tblPr>
    <w:tblStylePr w:type="band1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1Vert">
      <w:tcPr>
        <w:shd w:val="clear" w:color="9bc2e5" w:themeColor="accent5" w:themeTint="9A" w:fill="9bc2e5" w:themeFill="accent5" w:themeFillTint="9A"/>
        <w:tcBorders>
          <w:left w:val="single" w:color="FFFFFF" w:themeColor="light1" w:sz="4" w:space="0"/>
          <w:right w:val="single" w:color="FFFFFF" w:themeColor="light1" w:sz="4" w:space="0"/>
        </w:tcBorders>
      </w:tcPr>
    </w:tblStylePr>
    <w:tblStylePr w:type="band2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BC2E5"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bc2e5" w:themeColor="accent5" w:themeTint="9A" w:fill="9bc2e5" w:themeFill="accent5" w:themeFillTint="9A"/>
        <w:tcBorders>
          <w:top w:val="single" w:color="9BC2E5" w:themeColor="accent5" w:themeTint="9A" w:sz="32" w:space="0"/>
          <w:bottom w:val="single" w:color="FFFFFF" w:themeColor="light1" w:sz="12" w:space="0"/>
        </w:tcBorders>
      </w:tcPr>
    </w:tblStylePr>
    <w:tblStylePr w:type="lastCol">
      <w:tcPr>
        <w:tcBorders>
          <w:left w:val="single" w:color="FFFFFF" w:themeColor="light1" w:sz="4" w:space="0"/>
          <w:right w:val="single" w:color="9BC2E5"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0" w:customStyle="1">
    <w:name w:val="List Table 5 Dark - Accent 6"/>
    <w:basedOn w:val="726"/>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CellMar>
        <w:left w:w="108" w:type="dxa"/>
        <w:top w:w="0" w:type="dxa"/>
        <w:right w:w="108" w:type="dxa"/>
        <w:bottom w:w="0" w:type="dxa"/>
      </w:tblCellMar>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1" w:customStyle="1">
    <w:name w:val="List Table 6 Colorful"/>
    <w:basedOn w:val="726"/>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02" w:customStyle="1">
    <w:name w:val="List Table 6 Colorful - Accent 1"/>
    <w:basedOn w:val="726"/>
    <w:uiPriority w:val="99"/>
    <w:qFormat/>
    <w:tblPr>
      <w:tblBorders>
        <w:top w:val="single" w:color="4472C4" w:themeColor="accent1" w:sz="4" w:space="0"/>
        <w:bottom w:val="single" w:color="4472C4" w:themeColor="accent1" w:sz="4" w:space="0"/>
      </w:tblBorders>
      <w:tblCellMar>
        <w:left w:w="108" w:type="dxa"/>
        <w:top w:w="0" w:type="dxa"/>
        <w:right w:w="108" w:type="dxa"/>
        <w:bottom w:w="0" w:type="dxa"/>
      </w:tblCellMar>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b/>
        <w:color w:val="254174" w:themeColor="accent1" w:themeShade="94"/>
      </w:rPr>
    </w:tblStylePr>
    <w:tblStylePr w:type="firstRow">
      <w:rPr>
        <w:b/>
        <w:color w:val="254174" w:themeColor="accent1" w:themeShade="94"/>
      </w:rPr>
      <w:tcPr>
        <w:tcBorders>
          <w:bottom w:val="single" w:color="4472C4" w:themeColor="accent1" w:sz="4" w:space="0"/>
        </w:tcBorders>
      </w:tcPr>
    </w:tblStylePr>
    <w:tblStylePr w:type="lastCol">
      <w:rPr>
        <w:b/>
        <w:color w:val="254174" w:themeColor="accent1" w:themeShade="94"/>
      </w:rPr>
    </w:tblStylePr>
    <w:tblStylePr w:type="lastRow">
      <w:rPr>
        <w:b/>
        <w:color w:val="254174" w:themeColor="accent1" w:themeShade="94"/>
      </w:rPr>
      <w:tcPr>
        <w:tcBorders>
          <w:top w:val="single" w:color="4472C4" w:themeColor="accent1" w:sz="4" w:space="0"/>
        </w:tcBorders>
      </w:tcPr>
    </w:tblStylePr>
  </w:style>
  <w:style w:type="table" w:styleId="903" w:customStyle="1">
    <w:name w:val="List Table 6 Colorful - Accent 2"/>
    <w:basedOn w:val="726"/>
    <w:uiPriority w:val="99"/>
    <w:qFormat/>
    <w:tblPr>
      <w:tblBorders>
        <w:top w:val="single" w:color="F4B285" w:themeColor="accent2" w:themeTint="97" w:sz="4" w:space="0"/>
        <w:bottom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904" w:customStyle="1">
    <w:name w:val="List Table 6 Colorful - Accent 3"/>
    <w:basedOn w:val="726"/>
    <w:uiPriority w:val="99"/>
    <w:qFormat/>
    <w:tblPr>
      <w:tblBorders>
        <w:top w:val="single" w:color="C9C9C9" w:themeColor="accent3" w:themeTint="98" w:sz="4" w:space="0"/>
        <w:bottom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905" w:customStyle="1">
    <w:name w:val="List Table 6 Colorful - Accent 4"/>
    <w:basedOn w:val="726"/>
    <w:uiPriority w:val="99"/>
    <w:qFormat/>
    <w:tblPr>
      <w:tblBorders>
        <w:top w:val="single" w:color="FFD864" w:themeColor="accent4" w:themeTint="9A" w:sz="4" w:space="0"/>
        <w:bottom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906" w:customStyle="1">
    <w:name w:val="List Table 6 Colorful - Accent 5"/>
    <w:basedOn w:val="726"/>
    <w:uiPriority w:val="99"/>
    <w:qFormat/>
    <w:tblPr>
      <w:tblBorders>
        <w:top w:val="single" w:color="9BC2E5" w:themeColor="accent5" w:themeTint="9A" w:sz="4" w:space="0"/>
        <w:bottom w:val="single" w:color="9BC2E5" w:themeColor="accent5" w:themeTint="9A" w:sz="4" w:space="0"/>
      </w:tblBorders>
      <w:tblCellMar>
        <w:left w:w="108" w:type="dxa"/>
        <w:top w:w="0" w:type="dxa"/>
        <w:right w:w="108" w:type="dxa"/>
        <w:bottom w:w="0" w:type="dxa"/>
      </w:tblCellMar>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b/>
        <w:color w:val="9dc3e6" w:themeColor="accent5" w:themeTint="99"/>
        <w14:textFill>
          <w14:solidFill>
            <w14:schemeClr w14:val="accent5">
              <w14:lumMod w14:val="60000"/>
              <w14:lumOff w14:val="40000"/>
            </w14:schemeClr>
          </w14:solidFill>
        </w14:textFill>
      </w:rPr>
    </w:tblStylePr>
    <w:tblStylePr w:type="firstRow">
      <w:rPr>
        <w:b/>
        <w:color w:val="9dc3e6" w:themeColor="accent5" w:themeTint="99"/>
        <w14:textFill>
          <w14:solidFill>
            <w14:schemeClr w14:val="accent5">
              <w14:lumMod w14:val="60000"/>
              <w14:lumOff w14:val="40000"/>
            </w14:schemeClr>
          </w14:solidFill>
        </w14:textFill>
      </w:rPr>
      <w:tcPr>
        <w:tcBorders>
          <w:bottom w:val="single" w:color="9BC2E5" w:themeColor="accent5" w:themeTint="9A" w:sz="4" w:space="0"/>
        </w:tcBorders>
      </w:tcPr>
    </w:tblStylePr>
    <w:tblStylePr w:type="lastCol">
      <w:rPr>
        <w:b/>
        <w:color w:val="9dc3e6" w:themeColor="accent5" w:themeTint="99"/>
        <w14:textFill>
          <w14:solidFill>
            <w14:schemeClr w14:val="accent5">
              <w14:lumMod w14:val="60000"/>
              <w14:lumOff w14:val="40000"/>
            </w14:schemeClr>
          </w14:solidFill>
        </w14:textFill>
      </w:rPr>
    </w:tblStylePr>
    <w:tblStylePr w:type="lastRow">
      <w:rPr>
        <w:b/>
        <w:color w:val="9dc3e6" w:themeColor="accent5" w:themeTint="99"/>
        <w14:textFill>
          <w14:solidFill>
            <w14:schemeClr w14:val="accent5">
              <w14:lumMod w14:val="60000"/>
              <w14:lumOff w14:val="40000"/>
            </w14:schemeClr>
          </w14:solidFill>
        </w14:textFill>
      </w:rPr>
      <w:tcPr>
        <w:tcBorders>
          <w:top w:val="single" w:color="9BC2E5" w:themeColor="accent5" w:themeTint="9A" w:sz="4" w:space="0"/>
        </w:tcBorders>
      </w:tcPr>
    </w:tblStylePr>
  </w:style>
  <w:style w:type="table" w:styleId="907" w:customStyle="1">
    <w:name w:val="List Table 6 Colorful - Accent 6"/>
    <w:basedOn w:val="726"/>
    <w:uiPriority w:val="99"/>
    <w:qFormat/>
    <w:tblPr>
      <w:tblBorders>
        <w:top w:val="single" w:color="A9D08E" w:themeColor="accent6" w:themeTint="98" w:sz="4" w:space="0"/>
        <w:bottom w:val="single" w:color="A9D08E" w:themeColor="accent6" w:themeTint="98" w:sz="4" w:space="0"/>
      </w:tblBorders>
      <w:tblCellMar>
        <w:left w:w="108" w:type="dxa"/>
        <w:top w:w="0" w:type="dxa"/>
        <w:right w:w="108" w:type="dxa"/>
        <w:bottom w:w="0" w:type="dxa"/>
      </w:tblCellMar>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908" w:customStyle="1">
    <w:name w:val="List Table 7 Colorful"/>
    <w:basedOn w:val="726"/>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9" w:customStyle="1">
    <w:name w:val="List Table 7 Colorful - Accent 1"/>
    <w:basedOn w:val="726"/>
    <w:uiPriority w:val="99"/>
    <w:qFormat/>
    <w:tblPr>
      <w:tblBorders>
        <w:right w:val="single" w:color="4472C4" w:themeColor="accent1" w:sz="4" w:space="0"/>
      </w:tblBorders>
      <w:tblCellMar>
        <w:left w:w="108" w:type="dxa"/>
        <w:top w:w="0" w:type="dxa"/>
        <w:right w:w="108" w:type="dxa"/>
        <w:bottom w:w="0" w:type="dxa"/>
      </w:tblCellMar>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rFonts w:ascii="Arial" w:hAnsi="Arial"/>
        <w:i/>
        <w:color w:val="254174" w:themeColor="accent1" w:themeShade="94"/>
        <w:sz w:val="22"/>
      </w:rPr>
      <w:pPr>
        <w:jc w:val="right"/>
      </w:pPr>
      <w:tcPr>
        <w:shd w:val="clear" w:color="ffffff" w:fill="auto"/>
        <w:tcBorders>
          <w:top w:val="none" w:color="000000" w:sz="4" w:space="0"/>
          <w:left w:val="none" w:color="000000" w:sz="4" w:space="0"/>
          <w:bottom w:val="none" w:color="000000" w:sz="4" w:space="0"/>
          <w:right w:val="single" w:color="4472C4" w:themeColor="accent1" w:sz="4" w:space="0"/>
        </w:tcBorders>
      </w:tcPr>
    </w:tblStylePr>
    <w:tblStylePr w:type="firstRow">
      <w:rPr>
        <w:rFonts w:ascii="Arial" w:hAnsi="Arial"/>
        <w:i/>
        <w:color w:val="254174" w:themeColor="accent1" w:themeShade="94"/>
        <w:sz w:val="22"/>
      </w:rPr>
      <w:tcPr>
        <w:shd w:val="clear" w:color="ffffff" w:themeColor="light1" w:fill="ffffff" w:themeFill="light1"/>
        <w:tcBorders>
          <w:top w:val="none" w:color="000000" w:sz="4" w:space="0"/>
          <w:left w:val="none" w:color="000000" w:sz="4" w:space="0"/>
          <w:bottom w:val="single" w:color="4472C4" w:themeColor="accent1" w:sz="4" w:space="0"/>
          <w:right w:val="none" w:color="000000" w:sz="4" w:space="0"/>
        </w:tcBorders>
      </w:tcPr>
    </w:tblStylePr>
    <w:tblStylePr w:type="lastCol">
      <w:rPr>
        <w:rFonts w:ascii="Arial" w:hAnsi="Arial"/>
        <w:i/>
        <w:color w:val="254174" w:themeColor="accent1" w:themeShade="94"/>
        <w:sz w:val="22"/>
      </w:rPr>
      <w:tcPr>
        <w:shd w:val="clear" w:color="ffffff" w:fill="auto"/>
        <w:tcBorders>
          <w:top w:val="none" w:color="000000" w:sz="4" w:space="0"/>
          <w:left w:val="single" w:color="4472C4" w:themeColor="accent1" w:sz="4" w:space="0"/>
          <w:bottom w:val="none" w:color="000000" w:sz="4" w:space="0"/>
          <w:right w:val="none" w:color="000000" w:sz="4" w:space="0"/>
        </w:tcBorders>
      </w:tcPr>
    </w:tblStylePr>
    <w:tblStylePr w:type="lastRow">
      <w:rPr>
        <w:rFonts w:ascii="Arial" w:hAnsi="Arial"/>
        <w:i/>
        <w:color w:val="254174" w:themeColor="accent1" w:themeShade="94"/>
        <w:sz w:val="22"/>
      </w:rPr>
      <w:tcPr>
        <w:shd w:val="clear" w:color="ffffff" w:themeColor="light1" w:fill="ffffff" w:themeFill="light1"/>
        <w:tcBorders>
          <w:top w:val="single" w:color="4472C4" w:themeColor="accent1" w:sz="4" w:space="0"/>
          <w:left w:val="none" w:color="000000" w:sz="4" w:space="0"/>
          <w:bottom w:val="none" w:color="000000" w:sz="4" w:space="0"/>
          <w:right w:val="none" w:color="000000" w:sz="4" w:space="0"/>
        </w:tcBorders>
      </w:tcPr>
    </w:tblStylePr>
  </w:style>
  <w:style w:type="table" w:styleId="910" w:customStyle="1">
    <w:name w:val="List Table 7 Colorful - Accent 2"/>
    <w:basedOn w:val="726"/>
    <w:uiPriority w:val="99"/>
    <w:qFormat/>
    <w:tblPr>
      <w:tblBorders>
        <w:right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11" w:customStyle="1">
    <w:name w:val="List Table 7 Colorful - Accent 3"/>
    <w:basedOn w:val="726"/>
    <w:uiPriority w:val="99"/>
    <w:qFormat/>
    <w:tblPr>
      <w:tblBorders>
        <w:right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12" w:customStyle="1">
    <w:name w:val="List Table 7 Colorful - Accent 4"/>
    <w:basedOn w:val="726"/>
    <w:uiPriority w:val="99"/>
    <w:qFormat/>
    <w:tblPr>
      <w:tblBorders>
        <w:right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13" w:customStyle="1">
    <w:name w:val="List Table 7 Colorful - Accent 5"/>
    <w:basedOn w:val="726"/>
    <w:uiPriority w:val="99"/>
    <w:qFormat/>
    <w:tblPr>
      <w:tblBorders>
        <w:right w:val="single" w:color="9BC2E5" w:themeColor="accent5" w:themeTint="9A" w:sz="4" w:space="0"/>
      </w:tblBorders>
      <w:tblCellMar>
        <w:left w:w="108" w:type="dxa"/>
        <w:top w:w="0" w:type="dxa"/>
        <w:right w:w="108" w:type="dxa"/>
        <w:bottom w:w="0" w:type="dxa"/>
      </w:tblCellMar>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rFonts w:ascii="Arial" w:hAnsi="Arial"/>
        <w:i/>
        <w:color w:val="9dc3e6"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BC2E5" w:themeColor="accent5" w:themeTint="9A" w:sz="4" w:space="0"/>
        </w:tcBorders>
      </w:tcPr>
    </w:tblStylePr>
    <w:tblStylePr w:type="fir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BC2E5" w:themeColor="accent5" w:themeTint="9A" w:sz="4" w:space="0"/>
          <w:right w:val="none" w:color="000000" w:sz="4" w:space="0"/>
        </w:tcBorders>
      </w:tcPr>
    </w:tblStylePr>
    <w:tblStylePr w:type="lastCol">
      <w:rPr>
        <w:rFonts w:ascii="Arial" w:hAnsi="Arial"/>
        <w:i/>
        <w:color w:val="9dc3e6"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BC2E5" w:themeColor="accent5" w:themeTint="9A" w:sz="4" w:space="0"/>
          <w:bottom w:val="none" w:color="000000" w:sz="4" w:space="0"/>
          <w:right w:val="none" w:color="000000" w:sz="4" w:space="0"/>
        </w:tcBorders>
      </w:tcPr>
    </w:tblStylePr>
    <w:tblStylePr w:type="la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BC2E5" w:themeColor="accent5" w:themeTint="9A" w:sz="4" w:space="0"/>
          <w:left w:val="none" w:color="000000" w:sz="4" w:space="0"/>
          <w:bottom w:val="none" w:color="000000" w:sz="4" w:space="0"/>
          <w:right w:val="none" w:color="000000" w:sz="4" w:space="0"/>
        </w:tcBorders>
      </w:tcPr>
    </w:tblStylePr>
  </w:style>
  <w:style w:type="table" w:styleId="914" w:customStyle="1">
    <w:name w:val="List Table 7 Colorful - Accent 6"/>
    <w:basedOn w:val="726"/>
    <w:uiPriority w:val="99"/>
    <w:qFormat/>
    <w:tblPr>
      <w:tblBorders>
        <w:right w:val="single" w:color="A9D08E" w:themeColor="accent6" w:themeTint="98" w:sz="4" w:space="0"/>
      </w:tblBorders>
      <w:tblCellMar>
        <w:left w:w="108" w:type="dxa"/>
        <w:top w:w="0" w:type="dxa"/>
        <w:right w:w="108" w:type="dxa"/>
        <w:bottom w:w="0" w:type="dxa"/>
      </w:tblCellMar>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15" w:customStyle="1">
    <w:name w:val="Lined - Accent"/>
    <w:basedOn w:val="726"/>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6" w:customStyle="1">
    <w:name w:val="Lined - Accent 1"/>
    <w:basedOn w:val="726"/>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917" w:customStyle="1">
    <w:name w:val="Lined - Accent 2"/>
    <w:basedOn w:val="726"/>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18" w:customStyle="1">
    <w:name w:val="Lined - Accent 3"/>
    <w:basedOn w:val="726"/>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19" w:customStyle="1">
    <w:name w:val="Lined - Accent 4"/>
    <w:basedOn w:val="726"/>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20" w:customStyle="1">
    <w:name w:val="Lined - Accent 5"/>
    <w:basedOn w:val="726"/>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921" w:customStyle="1">
    <w:name w:val="Lined - Accent 6"/>
    <w:basedOn w:val="726"/>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22" w:customStyle="1">
    <w:name w:val="Bordered &amp; Lined - Accent"/>
    <w:basedOn w:val="726"/>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3" w:customStyle="1">
    <w:name w:val="Bordered &amp; Lined - Accent 1"/>
    <w:basedOn w:val="726"/>
    <w:uiPriority w:val="99"/>
    <w:qFormat/>
    <w:rPr>
      <w:color w:val="404040"/>
    </w:rPr>
    <w:tblPr>
      <w:tblBorders>
        <w:top w:val="single" w:color="244175" w:themeColor="accent1" w:themeShade="95" w:sz="4" w:space="0"/>
        <w:left w:val="single" w:color="244175" w:themeColor="accent1" w:themeShade="95" w:sz="4" w:space="0"/>
        <w:bottom w:val="single" w:color="244175" w:themeColor="accent1" w:themeShade="95" w:sz="4" w:space="0"/>
        <w:right w:val="single" w:color="244175" w:themeColor="accent1" w:themeShade="95" w:sz="4" w:space="0"/>
        <w:insideH w:val="single" w:color="244175" w:themeColor="accent1" w:themeShade="95" w:sz="4" w:space="0"/>
        <w:insideV w:val="single" w:color="244175"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924" w:customStyle="1">
    <w:name w:val="Bordered &amp; Lined - Accent 2"/>
    <w:basedOn w:val="726"/>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25" w:customStyle="1">
    <w:name w:val="Bordered &amp; Lined - Accent 3"/>
    <w:basedOn w:val="726"/>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26" w:customStyle="1">
    <w:name w:val="Bordered &amp; Lined - Accent 4"/>
    <w:basedOn w:val="726"/>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27" w:customStyle="1">
    <w:name w:val="Bordered &amp; Lined - Accent 5"/>
    <w:basedOn w:val="726"/>
    <w:uiPriority w:val="99"/>
    <w:qFormat/>
    <w:rPr>
      <w:color w:val="404040"/>
    </w:rPr>
    <w:tblPr>
      <w:tblBorders>
        <w:top w:val="single" w:color="245B8D" w:themeColor="accent5" w:themeShade="95" w:sz="4" w:space="0"/>
        <w:left w:val="single" w:color="245B8D" w:themeColor="accent5" w:themeShade="95" w:sz="4" w:space="0"/>
        <w:bottom w:val="single" w:color="245B8D" w:themeColor="accent5" w:themeShade="95" w:sz="4" w:space="0"/>
        <w:right w:val="single" w:color="245B8D" w:themeColor="accent5" w:themeShade="95" w:sz="4" w:space="0"/>
        <w:insideH w:val="single" w:color="245B8D" w:themeColor="accent5" w:themeShade="95" w:sz="4" w:space="0"/>
        <w:insideV w:val="single" w:color="245B8D"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928" w:customStyle="1">
    <w:name w:val="Bordered &amp; Lined - Accent 6"/>
    <w:basedOn w:val="726"/>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29" w:customStyle="1">
    <w:name w:val="Bordered"/>
    <w:basedOn w:val="726"/>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30" w:customStyle="1">
    <w:name w:val="Bordered - Accent 1"/>
    <w:basedOn w:val="726"/>
    <w:uiPriority w:val="99"/>
    <w:qFormat/>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472C4" w:themeColor="accent1" w:sz="12" w:space="0"/>
        </w:tcBorders>
      </w:tcPr>
    </w:tblStylePr>
    <w:tblStylePr w:type="lastCol">
      <w:rPr>
        <w:rFonts w:ascii="Arial" w:hAnsi="Arial"/>
        <w:color w:val="404040"/>
        <w:sz w:val="22"/>
      </w:rPr>
      <w:tcPr>
        <w:tcBorders>
          <w:left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style>
  <w:style w:type="table" w:styleId="931" w:customStyle="1">
    <w:name w:val="Bordered - Accent 2"/>
    <w:basedOn w:val="726"/>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32" w:customStyle="1">
    <w:name w:val="Bordered - Accent 3"/>
    <w:basedOn w:val="726"/>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33" w:customStyle="1">
    <w:name w:val="Bordered - Accent 4"/>
    <w:basedOn w:val="726"/>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34" w:customStyle="1">
    <w:name w:val="Bordered - Accent 5"/>
    <w:basedOn w:val="726"/>
    <w:uiPriority w:val="99"/>
    <w:qFormat/>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BC2E5" w:themeColor="accent5" w:themeTint="9A" w:sz="12" w:space="0"/>
        </w:tcBorders>
      </w:tcPr>
    </w:tblStylePr>
    <w:tblStylePr w:type="lastCol">
      <w:rPr>
        <w:rFonts w:ascii="Arial" w:hAnsi="Arial"/>
        <w:color w:val="404040"/>
        <w:sz w:val="22"/>
      </w:rPr>
      <w:tcPr>
        <w:tcBorders>
          <w:left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style>
  <w:style w:type="table" w:styleId="935" w:customStyle="1">
    <w:name w:val="Bordered - Accent 6"/>
    <w:basedOn w:val="726"/>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36" w:customStyle="1">
    <w:name w:val="Footnote Text Char"/>
    <w:uiPriority w:val="99"/>
    <w:qFormat/>
    <w:rPr>
      <w:sz w:val="18"/>
    </w:rPr>
  </w:style>
  <w:style w:type="character" w:styleId="937" w:customStyle="1">
    <w:name w:val="尾注文本 Char"/>
    <w:link w:val="745"/>
    <w:uiPriority w:val="99"/>
    <w:qFormat/>
    <w:rPr>
      <w:sz w:val="20"/>
    </w:rPr>
  </w:style>
  <w:style w:type="paragraph" w:styleId="938" w:customStyle="1">
    <w:name w:val="TOC 标题111"/>
    <w:uiPriority w:val="39"/>
    <w:unhideWhenUsed/>
    <w:qFormat/>
    <w:rPr>
      <w:rFonts w:ascii="Times New Roman" w:hAnsi="Times New Roman" w:eastAsia="宋体" w:cs="Times New Roman"/>
      <w:lang w:val="en-US" w:eastAsia="zh-CN" w:bidi="ar-SA"/>
    </w:rPr>
  </w:style>
  <w:style w:type="paragraph" w:styleId="939" w:customStyle="1">
    <w:name w:val="正文首行缩进11"/>
    <w:basedOn w:val="940"/>
    <w:next w:val="715"/>
    <w:uiPriority w:val="99"/>
    <w:unhideWhenUsed/>
    <w:qFormat/>
    <w:pPr>
      <w:ind w:firstLine="420"/>
    </w:pPr>
    <w:rPr>
      <w:szCs w:val="24"/>
    </w:rPr>
  </w:style>
  <w:style w:type="paragraph" w:styleId="940" w:customStyle="1">
    <w:name w:val="正文文本111"/>
    <w:basedOn w:val="715"/>
    <w:next w:val="715"/>
    <w:uiPriority w:val="0"/>
    <w:qFormat/>
    <w:rPr>
      <w:rFonts w:eastAsia="楷体_GB2312"/>
      <w:b/>
      <w:bCs/>
      <w:color w:val="ff0000"/>
      <w:sz w:val="32"/>
      <w:szCs w:val="32"/>
      <w:lang w:val="zh-CN"/>
    </w:rPr>
  </w:style>
  <w:style w:type="paragraph" w:styleId="941" w:customStyle="1">
    <w:name w:val="Default"/>
    <w:uiPriority w:val="0"/>
    <w:qFormat/>
    <w:pPr>
      <w:widowControl w:val="off"/>
    </w:pPr>
    <w:rPr>
      <w:rFonts w:ascii="宋体" w:hAnsi="Times New Roman" w:eastAsia="宋体" w:cs="宋体"/>
      <w:color w:val="000000"/>
      <w:sz w:val="24"/>
      <w:szCs w:val="24"/>
      <w:lang w:val="en-US" w:eastAsia="zh-CN" w:bidi="ar-SA"/>
    </w:rPr>
  </w:style>
  <w:style w:type="character" w:styleId="942" w:customStyle="1">
    <w:name w:val="标题 1 Char"/>
    <w:link w:val="716"/>
    <w:uiPriority w:val="0"/>
    <w:qFormat/>
    <w:rPr>
      <w:rFonts w:ascii="楷体_GB2312" w:hAnsi="楷体_GB2312" w:eastAsia="宋体"/>
      <w:b/>
      <w:sz w:val="44"/>
      <w:lang w:val="en-US" w:eastAsia="zh-CN" w:bidi="ar-SA"/>
    </w:rPr>
  </w:style>
  <w:style w:type="character" w:styleId="943" w:customStyle="1">
    <w:name w:val="正文缩进 Char"/>
    <w:link w:val="728"/>
    <w:uiPriority w:val="0"/>
    <w:qFormat/>
    <w:rPr>
      <w:rFonts w:eastAsia="宋体"/>
      <w:sz w:val="21"/>
      <w:lang w:val="en-US" w:eastAsia="zh-CN" w:bidi="ar-SA"/>
    </w:rPr>
  </w:style>
  <w:style w:type="character" w:styleId="944" w:customStyle="1">
    <w:name w:val="批注文字 Char"/>
    <w:link w:val="732"/>
    <w:uiPriority w:val="99"/>
    <w:qFormat/>
    <w:rPr>
      <w:sz w:val="21"/>
      <w:szCs w:val="24"/>
    </w:rPr>
  </w:style>
  <w:style w:type="character" w:styleId="945" w:customStyle="1">
    <w:name w:val="纯文本 Char"/>
    <w:link w:val="741"/>
    <w:uiPriority w:val="0"/>
    <w:qFormat/>
    <w:rPr>
      <w:rFonts w:ascii="宋体" w:hAnsi="Courier New"/>
      <w:sz w:val="21"/>
    </w:rPr>
  </w:style>
  <w:style w:type="character" w:styleId="946" w:customStyle="1">
    <w:name w:val="副标题 Char"/>
    <w:link w:val="752"/>
    <w:uiPriority w:val="0"/>
    <w:qFormat/>
    <w:rPr>
      <w:rFonts w:ascii="Cambria" w:hAnsi="Cambria"/>
      <w:b/>
      <w:bCs/>
      <w:sz w:val="32"/>
      <w:szCs w:val="32"/>
    </w:rPr>
  </w:style>
  <w:style w:type="character" w:styleId="947" w:customStyle="1">
    <w:name w:val="HTML 预设格式 Char"/>
    <w:link w:val="761"/>
    <w:uiPriority w:val="0"/>
    <w:qFormat/>
    <w:rPr>
      <w:rFonts w:ascii="黑体" w:hAnsi="Courier New" w:eastAsia="黑体" w:cs="Courier New"/>
    </w:rPr>
  </w:style>
  <w:style w:type="character" w:styleId="948" w:customStyle="1">
    <w:name w:val="批注主题 Char"/>
    <w:link w:val="765"/>
    <w:uiPriority w:val="0"/>
    <w:qFormat/>
    <w:rPr>
      <w:b/>
      <w:bCs/>
      <w:sz w:val="21"/>
      <w:szCs w:val="24"/>
    </w:rPr>
  </w:style>
  <w:style w:type="character" w:styleId="949" w:customStyle="1">
    <w:name w:val="标题2 Char"/>
    <w:uiPriority w:val="0"/>
    <w:qFormat/>
    <w:rPr>
      <w:rFonts w:ascii="方正楷体_GBK" w:hAnsi="Book Antiqua" w:eastAsia="方正楷体_GBK"/>
      <w:sz w:val="32"/>
      <w:lang w:val="en-US" w:eastAsia="zh-CN" w:bidi="ar-SA"/>
    </w:rPr>
  </w:style>
  <w:style w:type="character" w:styleId="950" w:customStyle="1">
    <w:name w:val="MSG_EN_FONT_STYLE_NAME_TEMPLATE_ROLE_NUMBER MSG_EN_FONT_STYLE_NAME_BY_ROLE_TEXT 2 + MSG_EN_FONT_STYLE_MODIFER_NAME PMingLiU"/>
    <w:uiPriority w:val="99"/>
    <w:qFormat/>
    <w:rPr>
      <w:rFonts w:hint="eastAsia" w:ascii="PMingLiU" w:hAnsi="PMingLiU" w:eastAsia="PMingLiU" w:cs="PMingLiU"/>
      <w:spacing w:val="30"/>
      <w:sz w:val="17"/>
      <w:szCs w:val="17"/>
      <w:u w:val="none"/>
    </w:rPr>
  </w:style>
  <w:style w:type="character" w:styleId="951" w:customStyle="1">
    <w:name w:val="jj1"/>
    <w:uiPriority w:val="0"/>
    <w:qFormat/>
    <w:rPr>
      <w:sz w:val="20"/>
      <w:szCs w:val="20"/>
      <w:u w:val="none"/>
    </w:rPr>
  </w:style>
  <w:style w:type="character" w:styleId="952" w:customStyle="1">
    <w:name w:val="列出段落 Char"/>
    <w:link w:val="953"/>
    <w:uiPriority w:val="0"/>
    <w:qFormat/>
    <w:rPr>
      <w:rFonts w:ascii="Calibri" w:hAnsi="Calibri"/>
      <w:sz w:val="24"/>
      <w:szCs w:val="24"/>
      <w:lang w:eastAsia="en-US" w:bidi="en-US"/>
    </w:rPr>
  </w:style>
  <w:style w:type="paragraph" w:styleId="953" w:customStyle="1">
    <w:name w:val="列出段落1"/>
    <w:basedOn w:val="715"/>
    <w:link w:val="952"/>
    <w:uiPriority w:val="0"/>
    <w:qFormat/>
    <w:pPr>
      <w:contextualSpacing/>
      <w:ind w:left="720"/>
      <w:jc w:val="left"/>
      <w:widowControl/>
    </w:pPr>
    <w:rPr>
      <w:rFonts w:ascii="Calibri" w:hAnsi="Calibri"/>
      <w:sz w:val="24"/>
      <w:lang w:eastAsia="en-US" w:bidi="en-US"/>
    </w:rPr>
  </w:style>
  <w:style w:type="character" w:styleId="954" w:customStyle="1">
    <w:name w:val="MSG_EN_FONT_STYLE_NAME_TEMPLATE_ROLE_NUMBER MSG_EN_FONT_STYLE_NAME_BY_ROLE_TEXT 2 + MSG_EN_FONT_STYLE_MODIFER_SIZE 8"/>
    <w:uiPriority w:val="99"/>
    <w:qFormat/>
    <w:rPr>
      <w:rFonts w:hint="eastAsia" w:ascii="PMingLiU" w:hAnsi="PMingLiU" w:eastAsia="PMingLiU" w:cs="PMingLiU"/>
      <w:spacing w:val="10"/>
      <w:sz w:val="16"/>
      <w:szCs w:val="16"/>
      <w:u w:val="none"/>
    </w:rPr>
  </w:style>
  <w:style w:type="paragraph" w:styleId="955" w:customStyle="1">
    <w:name w:val="第四级"/>
    <w:basedOn w:val="715"/>
    <w:next w:val="715"/>
    <w:uiPriority w:val="0"/>
    <w:qFormat/>
    <w:pPr>
      <w:numPr>
        <w:ilvl w:val="3"/>
        <w:numId w:val="1"/>
      </w:numPr>
      <w:spacing w:line="360" w:lineRule="auto"/>
    </w:pPr>
    <w:rPr>
      <w:rFonts w:ascii="宋体" w:hAnsi="宋体" w:eastAsia="仿宋"/>
      <w:sz w:val="28"/>
      <w:szCs w:val="21"/>
    </w:rPr>
  </w:style>
  <w:style w:type="paragraph" w:styleId="956" w:customStyle="1">
    <w:name w:val="正文空2格  1."/>
    <w:basedOn w:val="715"/>
    <w:uiPriority w:val="0"/>
    <w:qFormat/>
    <w:pPr>
      <w:ind w:firstLine="480"/>
      <w:spacing w:line="360" w:lineRule="auto"/>
    </w:pPr>
    <w:rPr>
      <w:rFonts w:ascii="宋体" w:eastAsia="仿宋" w:cs="宋体"/>
      <w:sz w:val="28"/>
      <w:szCs w:val="20"/>
    </w:rPr>
  </w:style>
  <w:style w:type="paragraph" w:styleId="957" w:customStyle="1">
    <w:name w:val="普通正文"/>
    <w:basedOn w:val="715"/>
    <w:uiPriority w:val="0"/>
    <w:qFormat/>
    <w:pPr>
      <w:ind w:firstLine="480"/>
      <w:jc w:val="left"/>
      <w:spacing w:before="120" w:after="120" w:line="360" w:lineRule="auto"/>
    </w:pPr>
    <w:rPr>
      <w:rFonts w:ascii="Arial" w:hAnsi="Arial"/>
      <w:sz w:val="24"/>
    </w:rPr>
  </w:style>
  <w:style w:type="paragraph" w:styleId="958" w:customStyle="1">
    <w:name w:val="MSG_EN_FONT_STYLE_NAME_TEMPLATE_ROLE_NUMBER MSG_EN_FONT_STYLE_NAME_BY_ROLE_TEXT 2"/>
    <w:basedOn w:val="715"/>
    <w:uiPriority w:val="99"/>
    <w:unhideWhenUsed/>
    <w:qFormat/>
    <w:pPr>
      <w:ind w:firstLine="480"/>
      <w:spacing w:before="300" w:line="439" w:lineRule="exact"/>
      <w:shd w:val="clear" w:color="auto" w:fill="ffffff"/>
    </w:pPr>
    <w:rPr>
      <w:rFonts w:hint="eastAsia" w:ascii="PMingLiU" w:hAnsi="PMingLiU" w:eastAsia="PMingLiU"/>
      <w:spacing w:val="10"/>
      <w:sz w:val="22"/>
    </w:rPr>
  </w:style>
  <w:style w:type="paragraph" w:styleId="959" w:customStyle="1">
    <w:name w:val="_Style 3"/>
    <w:uiPriority w:val="1"/>
    <w:qFormat/>
    <w:pPr>
      <w:jc w:val="both"/>
      <w:widowControl w:val="off"/>
    </w:pPr>
    <w:rPr>
      <w:rFonts w:ascii="Times New Roman" w:hAnsi="Times New Roman" w:eastAsia="宋体" w:cs="Times New Roman"/>
      <w:sz w:val="21"/>
      <w:szCs w:val="22"/>
      <w:lang w:val="en-US" w:eastAsia="zh-CN" w:bidi="ar-SA"/>
    </w:rPr>
  </w:style>
  <w:style w:type="paragraph" w:styleId="960" w:customStyle="1">
    <w:name w:val="正文（缩进）"/>
    <w:basedOn w:val="715"/>
    <w:uiPriority w:val="0"/>
    <w:qFormat/>
    <w:pPr>
      <w:ind w:firstLine="480"/>
      <w:spacing w:before="156" w:after="156"/>
    </w:pPr>
  </w:style>
  <w:style w:type="paragraph" w:styleId="961" w:customStyle="1">
    <w:name w:val="段"/>
    <w:next w:val="715"/>
    <w:uiPriority w:val="0"/>
    <w:qFormat/>
    <w:pPr>
      <w:ind w:firstLine="200"/>
      <w:jc w:val="both"/>
    </w:pPr>
    <w:rPr>
      <w:rFonts w:ascii="宋体" w:hAnsi="Calibri" w:eastAsia="宋体" w:cs="Times New Roman"/>
      <w:sz w:val="21"/>
      <w:lang w:val="en-US" w:eastAsia="zh-CN" w:bidi="ar-SA"/>
    </w:rPr>
  </w:style>
  <w:style w:type="paragraph" w:styleId="962" w:customStyle="1">
    <w:name w:val="标题2"/>
    <w:basedOn w:val="715"/>
    <w:next w:val="715"/>
    <w:uiPriority w:val="0"/>
    <w:qFormat/>
    <w:pPr>
      <w:jc w:val="center"/>
    </w:pPr>
    <w:rPr>
      <w:rFonts w:eastAsia="方正楷体_GBK"/>
    </w:rPr>
  </w:style>
  <w:style w:type="paragraph" w:styleId="963" w:customStyle="1">
    <w:name w:val="HTML 预先格式化"/>
    <w:basedOn w:val="715"/>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964" w:customStyle="1">
    <w:name w:val="Char Char Char Char1 Char Char"/>
    <w:basedOn w:val="715"/>
    <w:uiPriority w:val="0"/>
    <w:qFormat/>
    <w:pPr>
      <w:tabs>
        <w:tab w:val="left" w:pos="360" w:leader="none"/>
      </w:tabs>
    </w:pPr>
    <w:rPr>
      <w:sz w:val="24"/>
    </w:rPr>
  </w:style>
  <w:style w:type="paragraph" w:styleId="965" w:customStyle="1">
    <w:name w:val="默认段落字体 Para Char Char Char Char Char Char Char Char Char1 Char Char Char Char Char Char Char"/>
    <w:basedOn w:val="731"/>
    <w:uiPriority w:val="0"/>
    <w:qFormat/>
    <w:rPr>
      <w:rFonts w:ascii="Tahoma" w:hAnsi="Tahoma"/>
      <w:sz w:val="24"/>
    </w:rPr>
  </w:style>
  <w:style w:type="paragraph" w:styleId="966" w:customStyle="1">
    <w:name w:val="WPSOffice手动目录 1"/>
    <w:uiPriority w:val="0"/>
    <w:qFormat/>
    <w:rPr>
      <w:rFonts w:ascii="Times New Roman" w:hAnsi="Times New Roman" w:eastAsia="宋体" w:cs="Times New Roman"/>
      <w:lang w:val="en-US" w:eastAsia="zh-CN" w:bidi="ar-SA"/>
    </w:rPr>
  </w:style>
  <w:style w:type="paragraph" w:styleId="967" w:customStyle="1">
    <w:name w:val="Char Char Char Char"/>
    <w:basedOn w:val="731"/>
    <w:uiPriority w:val="0"/>
    <w:qFormat/>
    <w:pPr>
      <w:spacing w:line="360" w:lineRule="auto"/>
    </w:pPr>
    <w:rPr>
      <w:rFonts w:ascii="Tahoma" w:hAnsi="Tahoma"/>
      <w:sz w:val="24"/>
    </w:rPr>
  </w:style>
  <w:style w:type="paragraph" w:styleId="968" w:customStyle="1">
    <w:name w:val="Char"/>
    <w:basedOn w:val="715"/>
    <w:uiPriority w:val="0"/>
    <w:qFormat/>
    <w:pPr>
      <w:tabs>
        <w:tab w:val="left" w:pos="360" w:leader="none"/>
      </w:tabs>
    </w:pPr>
    <w:rPr>
      <w:sz w:val="24"/>
    </w:rPr>
  </w:style>
  <w:style w:type="paragraph" w:styleId="969" w:customStyle="1">
    <w:name w:val="正文 1.1.1"/>
    <w:basedOn w:val="715"/>
    <w:next w:val="715"/>
    <w:uiPriority w:val="0"/>
    <w:qFormat/>
    <w:pPr>
      <w:numPr>
        <w:ilvl w:val="2"/>
        <w:numId w:val="1"/>
      </w:numPr>
      <w:spacing w:line="360" w:lineRule="auto"/>
      <w:outlineLvl w:val="2"/>
    </w:pPr>
    <w:rPr>
      <w:rFonts w:ascii="宋体" w:hAnsi="宋体"/>
      <w:color w:val="000000"/>
      <w:sz w:val="28"/>
      <w:szCs w:val="21"/>
    </w:rPr>
  </w:style>
  <w:style w:type="paragraph" w:styleId="970" w:customStyle="1">
    <w:name w:val="正文 1.1"/>
    <w:basedOn w:val="715"/>
    <w:next w:val="969"/>
    <w:uiPriority w:val="0"/>
    <w:qFormat/>
    <w:pPr>
      <w:numPr>
        <w:ilvl w:val="1"/>
        <w:numId w:val="1"/>
      </w:numPr>
      <w:ind w:left="980" w:hanging="980"/>
      <w:spacing w:line="360" w:lineRule="auto"/>
      <w:tabs>
        <w:tab w:val="clear" w:pos="851" w:leader="none"/>
      </w:tabs>
      <w:outlineLvl w:val="1"/>
    </w:pPr>
    <w:rPr>
      <w:rFonts w:ascii="仿宋" w:hAnsi="仿宋" w:eastAsia="仿宋"/>
      <w:b/>
      <w:sz w:val="28"/>
      <w:szCs w:val="21"/>
    </w:rPr>
  </w:style>
  <w:style w:type="paragraph" w:styleId="971" w:customStyle="1">
    <w:name w:val="正文 第一章"/>
    <w:basedOn w:val="715"/>
    <w:next w:val="970"/>
    <w:uiPriority w:val="0"/>
    <w:qFormat/>
    <w:pPr>
      <w:numPr>
        <w:ilvl w:val="0"/>
        <w:numId w:val="1"/>
      </w:numPr>
      <w:jc w:val="center"/>
      <w:pageBreakBefore/>
      <w:spacing w:before="240" w:after="240" w:line="480" w:lineRule="auto"/>
      <w:outlineLvl w:val="0"/>
    </w:pPr>
    <w:rPr>
      <w:rFonts w:ascii="黑体" w:hAnsi="宋体" w:eastAsia="黑体"/>
      <w:sz w:val="36"/>
      <w:szCs w:val="21"/>
    </w:rPr>
  </w:style>
  <w:style w:type="paragraph" w:styleId="972">
    <w:name w:val="List Paragraph"/>
    <w:basedOn w:val="715"/>
    <w:uiPriority w:val="34"/>
    <w:qFormat/>
    <w:pPr>
      <w:ind w:firstLine="420"/>
    </w:pPr>
    <w:rPr>
      <w:rFonts w:ascii="Calibri" w:hAnsi="Calibri"/>
      <w:szCs w:val="22"/>
    </w:rPr>
  </w:style>
  <w:style w:type="paragraph" w:styleId="973" w:customStyle="1">
    <w:name w:val="标书正文格式"/>
    <w:uiPriority w:val="0"/>
    <w:qFormat/>
    <w:pPr>
      <w:ind w:firstLine="200"/>
      <w:spacing w:line="360" w:lineRule="auto"/>
    </w:pPr>
    <w:rPr>
      <w:rFonts w:ascii="Times New Roman" w:hAnsi="Times New Roman" w:eastAsia="楷体_GB2312" w:cs="Times New Roman"/>
      <w:sz w:val="24"/>
      <w:szCs w:val="24"/>
      <w:lang w:val="en-US" w:eastAsia="zh-CN" w:bidi="ar-SA"/>
    </w:rPr>
  </w:style>
  <w:style w:type="paragraph" w:styleId="974" w:customStyle="1">
    <w:name w:val="附录1"/>
    <w:uiPriority w:val="0"/>
    <w:qFormat/>
    <w:pPr>
      <w:numPr>
        <w:ilvl w:val="0"/>
        <w:numId w:val="2"/>
      </w:numPr>
      <w:spacing w:before="240" w:line="600" w:lineRule="atLeast"/>
    </w:pPr>
    <w:rPr>
      <w:rFonts w:ascii="Times New Roman" w:hAnsi="Times New Roman" w:eastAsia="宋体" w:cs="Times New Roman"/>
      <w:b/>
      <w:i/>
      <w:sz w:val="28"/>
      <w:lang w:val="en-US" w:eastAsia="zh-CN" w:bidi="ar-SA"/>
    </w:rPr>
  </w:style>
  <w:style w:type="paragraph" w:styleId="975" w:customStyle="1">
    <w:name w:val="Char1"/>
    <w:basedOn w:val="715"/>
    <w:uiPriority w:val="0"/>
    <w:qFormat/>
    <w:rPr>
      <w:rFonts w:ascii="Tahoma" w:hAnsi="Tahoma"/>
      <w:sz w:val="24"/>
      <w:szCs w:val="20"/>
    </w:rPr>
  </w:style>
  <w:style w:type="paragraph" w:styleId="976" w:customStyle="1">
    <w:name w:val="Coms Alinea"/>
    <w:uiPriority w:val="0"/>
    <w:qFormat/>
    <w:pPr>
      <w:widowControl w:val="off"/>
    </w:pPr>
    <w:rPr>
      <w:rFonts w:ascii="Arial" w:hAnsi="Arial" w:eastAsia="宋体" w:cs="Arial"/>
      <w:lang w:val="en-US" w:eastAsia="zh-CN" w:bidi="ar-SA"/>
    </w:rPr>
  </w:style>
  <w:style w:type="paragraph" w:styleId="977" w:customStyle="1">
    <w:name w:val="Char Char Char Char1 Char Char Char"/>
    <w:basedOn w:val="731"/>
    <w:uiPriority w:val="0"/>
    <w:qFormat/>
    <w:pPr>
      <w:spacing w:line="360" w:lineRule="auto"/>
    </w:pPr>
    <w:rPr>
      <w:rFonts w:ascii="Tahoma" w:hAnsi="Tahoma"/>
      <w:sz w:val="24"/>
    </w:rPr>
  </w:style>
  <w:style w:type="paragraph" w:styleId="978" w:customStyle="1">
    <w:name w:val="Table Text"/>
    <w:uiPriority w:val="0"/>
    <w:qFormat/>
    <w:pPr>
      <w:jc w:val="center"/>
      <w:spacing w:after="80"/>
    </w:pPr>
    <w:rPr>
      <w:rFonts w:ascii="仿宋_GB2312" w:hAnsi="宋体" w:eastAsia="仿宋_GB2312" w:cs="Times New Roman"/>
      <w:sz w:val="24"/>
      <w:lang w:val="en-US" w:eastAsia="zh-CN" w:bidi="ar-SA"/>
    </w:rPr>
  </w:style>
  <w:style w:type="paragraph" w:styleId="979" w:customStyle="1">
    <w:name w:val="BioQuote Tekst"/>
    <w:basedOn w:val="715"/>
    <w:uiPriority w:val="0"/>
    <w:qFormat/>
    <w:pPr>
      <w:ind w:right="-1"/>
    </w:pPr>
    <w:rPr>
      <w:rFonts w:ascii="Arial" w:hAnsi="Arial"/>
      <w:sz w:val="22"/>
      <w:szCs w:val="20"/>
      <w:lang w:eastAsia="en-US"/>
    </w:rPr>
  </w:style>
  <w:style w:type="paragraph" w:styleId="980" w:customStyle="1">
    <w:name w:val="xl47"/>
    <w:basedOn w:val="715"/>
    <w:uiPriority w:val="0"/>
    <w:qFormat/>
    <w:pPr>
      <w:jc w:val="center"/>
      <w:spacing w:before="100" w:beforeAutospacing="1" w:after="100" w:afterAutospacing="1"/>
      <w:widowControl/>
    </w:pPr>
    <w:rPr>
      <w:rFonts w:hint="eastAsia" w:ascii="方正姚体" w:hAnsi="宋体" w:eastAsia="方正姚体"/>
      <w:b/>
      <w:bCs/>
      <w:sz w:val="36"/>
      <w:szCs w:val="36"/>
    </w:rPr>
  </w:style>
  <w:style w:type="paragraph" w:styleId="981" w:customStyle="1">
    <w:name w:val="纯文本2"/>
    <w:basedOn w:val="715"/>
    <w:uiPriority w:val="0"/>
    <w:qFormat/>
    <w:rPr>
      <w:rFonts w:ascii="宋体" w:hAnsi="Courier New" w:eastAsia="楷体_GB2312"/>
      <w:sz w:val="26"/>
      <w:szCs w:val="20"/>
    </w:rPr>
  </w:style>
  <w:style w:type="paragraph" w:styleId="982" w:customStyle="1">
    <w:name w:val="标题1"/>
    <w:basedOn w:val="715"/>
    <w:next w:val="715"/>
    <w:uiPriority w:val="0"/>
    <w:qFormat/>
    <w:pPr>
      <w:jc w:val="center"/>
      <w:spacing w:line="700" w:lineRule="atLeast"/>
      <w:tabs>
        <w:tab w:val="left" w:pos="9193" w:leader="none"/>
        <w:tab w:val="left" w:pos="9827" w:leader="none"/>
      </w:tabs>
    </w:pPr>
    <w:rPr>
      <w:rFonts w:eastAsia="方正小标宋_GBK"/>
      <w:sz w:val="44"/>
    </w:rPr>
  </w:style>
  <w:style w:type="paragraph" w:styleId="983" w:customStyle="1">
    <w:name w:val="TOC 标题11"/>
    <w:basedOn w:val="716"/>
    <w:next w:val="715"/>
    <w:uiPriority w:val="39"/>
    <w:qFormat/>
    <w:pPr>
      <w:jc w:val="left"/>
      <w:keepLines/>
      <w:spacing w:before="480" w:line="276" w:lineRule="auto"/>
      <w:outlineLvl w:val="9"/>
    </w:pPr>
    <w:rPr>
      <w:rFonts w:ascii="Cambria" w:hAnsi="Cambria"/>
      <w:b w:val="0"/>
      <w:bCs/>
      <w:color w:val="365f91"/>
      <w:szCs w:val="28"/>
    </w:rPr>
  </w:style>
  <w:style w:type="paragraph" w:styleId="984" w:customStyle="1">
    <w:name w:val="标题3"/>
    <w:basedOn w:val="715"/>
    <w:next w:val="715"/>
    <w:uiPriority w:val="0"/>
    <w:qFormat/>
    <w:rPr>
      <w:rFonts w:eastAsia="方正黑体_GBK"/>
    </w:rPr>
  </w:style>
  <w:style w:type="paragraph" w:styleId="985" w:customStyle="1">
    <w:name w:val="纯文本1"/>
    <w:basedOn w:val="715"/>
    <w:uiPriority w:val="0"/>
    <w:qFormat/>
    <w:rPr>
      <w:rFonts w:hAnsi="Courier New" w:eastAsia="楷体_GB2312"/>
      <w:color w:val="000000"/>
      <w:sz w:val="26"/>
    </w:rPr>
  </w:style>
  <w:style w:type="paragraph" w:styleId="986" w:customStyle="1">
    <w:name w:val="p2"/>
    <w:basedOn w:val="715"/>
    <w:uiPriority w:val="0"/>
    <w:qFormat/>
    <w:pPr>
      <w:jc w:val="left"/>
      <w:spacing w:before="100" w:beforeAutospacing="1" w:after="100" w:afterAutospacing="1"/>
      <w:widowControl/>
    </w:pPr>
    <w:rPr>
      <w:rFonts w:ascii="宋体" w:hAnsi="宋体" w:cs="宋体"/>
      <w:sz w:val="24"/>
    </w:rPr>
  </w:style>
  <w:style w:type="paragraph" w:styleId="987" w:customStyle="1">
    <w:name w:val="正文_13"/>
    <w:uiPriority w:val="0"/>
    <w:qFormat/>
    <w:pPr>
      <w:jc w:val="both"/>
      <w:widowControl w:val="off"/>
    </w:pPr>
    <w:rPr>
      <w:rFonts w:ascii="Times New Roman" w:hAnsi="Times New Roman" w:eastAsia="宋体" w:cs="Times New Roman"/>
      <w:sz w:val="21"/>
      <w:szCs w:val="24"/>
      <w:lang w:val="en-US" w:eastAsia="zh-CN" w:bidi="ar-SA"/>
    </w:rPr>
  </w:style>
  <w:style w:type="paragraph" w:styleId="988" w:customStyle="1">
    <w:name w:val="文档正文"/>
    <w:basedOn w:val="715"/>
    <w:uiPriority w:val="0"/>
    <w:unhideWhenUsed/>
    <w:qFormat/>
    <w:pPr>
      <w:ind w:firstLine="482"/>
      <w:spacing w:before="60" w:after="60" w:line="360" w:lineRule="auto"/>
    </w:pPr>
  </w:style>
  <w:style w:type="character" w:styleId="989" w:customStyle="1">
    <w:name w:val="font01"/>
    <w:basedOn w:val="725"/>
    <w:uiPriority w:val="0"/>
    <w:qFormat/>
    <w:rPr>
      <w:rFonts w:hint="eastAsia" w:ascii="宋体" w:hAnsi="宋体" w:eastAsia="宋体" w:cs="宋体"/>
      <w:color w:val="000000"/>
      <w:sz w:val="22"/>
      <w:szCs w:val="22"/>
      <w:u w:val="none"/>
    </w:rPr>
  </w:style>
  <w:style w:type="character" w:styleId="990" w:customStyle="1">
    <w:name w:val="font11"/>
    <w:uiPriority w:val="0"/>
    <w:qFormat/>
    <w:rPr>
      <w:rFonts w:hint="eastAsia" w:ascii="宋体" w:hAnsi="宋体" w:eastAsia="宋体" w:cs="宋体"/>
      <w:color w:val="ff0000"/>
      <w:sz w:val="22"/>
      <w:szCs w:val="22"/>
      <w:u w:val="none"/>
    </w:rPr>
  </w:style>
  <w:style w:type="character" w:styleId="991" w:customStyle="1">
    <w:name w:val="font31"/>
    <w:basedOn w:val="725"/>
    <w:uiPriority w:val="0"/>
    <w:qFormat/>
    <w:rPr>
      <w:rFonts w:hint="eastAsia" w:ascii="宋体" w:hAnsi="宋体" w:eastAsia="宋体" w:cs="宋体"/>
      <w:color w:val="000000"/>
      <w:sz w:val="22"/>
      <w:szCs w:val="22"/>
      <w:u w:val="none"/>
    </w:rPr>
  </w:style>
  <w:style w:type="paragraph" w:styleId="992" w:customStyle="1">
    <w:name w:val="Table Paragraph"/>
    <w:basedOn w:val="715"/>
    <w:uiPriority w:val="1"/>
    <w:qFormat/>
    <w:pPr>
      <w:jc w:val="left"/>
    </w:pPr>
    <w:rPr>
      <w:sz w:val="24"/>
    </w:rPr>
  </w:style>
  <w:style w:type="paragraph" w:styleId="993" w:customStyle="1">
    <w:name w:val="正文2"/>
    <w:basedOn w:val="715"/>
    <w:uiPriority w:val="0"/>
    <w:qFormat/>
    <w:pPr>
      <w:ind w:firstLine="200"/>
      <w:spacing w:before="156" w:line="360" w:lineRule="auto"/>
    </w:pPr>
    <w:rPr>
      <w:sz w:val="24"/>
      <w:szCs w:val="20"/>
    </w:rPr>
  </w:style>
  <w:style w:type="character" w:styleId="994" w:customStyle="1">
    <w:name w:val="NormalCharacter"/>
    <w:link w:val="995"/>
    <w:uiPriority w:val="0"/>
    <w:semiHidden/>
    <w:qFormat/>
    <w:rPr>
      <w:sz w:val="20"/>
      <w:szCs w:val="20"/>
    </w:rPr>
  </w:style>
  <w:style w:type="paragraph" w:styleId="995" w:customStyle="1">
    <w:name w:val="UserStyle_0"/>
    <w:basedOn w:val="715"/>
    <w:link w:val="994"/>
    <w:uiPriority w:val="0"/>
    <w:semiHidden/>
    <w:qFormat/>
    <w:pPr>
      <w:widowControl/>
    </w:pPr>
    <w:rPr>
      <w:sz w:val="20"/>
      <w:szCs w:val="20"/>
    </w:rPr>
  </w:style>
  <w:style w:type="paragraph" w:styleId="996" w:customStyle="1">
    <w:name w:val="Body text|1"/>
    <w:uiPriority w:val="0"/>
    <w:qFormat/>
    <w:pPr>
      <w:jc w:val="both"/>
      <w:spacing w:after="60"/>
      <w:widowControl w:val="off"/>
    </w:pPr>
    <w:rPr>
      <w:rFonts w:ascii="宋体" w:hAnsi="宋体" w:eastAsia="宋体" w:cs="宋体"/>
      <w:lang w:val="zh-TW" w:eastAsia="zh-TW" w:bidi="zh-TW"/>
    </w:rPr>
  </w:style>
  <w:style w:type="character" w:styleId="997" w:customStyle="1">
    <w:name w:val="font61"/>
    <w:basedOn w:val="725"/>
    <w:uiPriority w:val="0"/>
    <w:qFormat/>
    <w:rPr>
      <w:rFonts w:ascii="方正仿宋_GBK" w:hAnsi="方正仿宋_GBK" w:eastAsia="方正仿宋_GBK" w:cs="方正仿宋_GBK"/>
      <w:b/>
      <w:bCs/>
      <w:color w:val="000000"/>
      <w:sz w:val="22"/>
      <w:szCs w:val="22"/>
      <w:u w:val="none"/>
    </w:rPr>
  </w:style>
  <w:style w:type="character" w:styleId="998" w:customStyle="1">
    <w:name w:val="font51"/>
    <w:basedOn w:val="725"/>
    <w:uiPriority w:val="0"/>
    <w:qFormat/>
    <w:rPr>
      <w:rFonts w:hint="eastAsia" w:ascii="方正仿宋_GBK" w:hAnsi="方正仿宋_GBK" w:eastAsia="方正仿宋_GBK" w:cs="方正仿宋_GBK"/>
      <w:color w:val="000000"/>
      <w:sz w:val="22"/>
      <w:szCs w:val="22"/>
      <w:u w:val="none"/>
    </w:rPr>
  </w:style>
  <w:style w:type="character" w:styleId="999" w:customStyle="1">
    <w:name w:val="font41"/>
    <w:basedOn w:val="725"/>
    <w:uiPriority w:val="0"/>
    <w:qFormat/>
    <w:rPr>
      <w:rFonts w:hint="default" w:ascii="Times New Roman" w:hAnsi="Times New Roman" w:cs="Times New Roman"/>
      <w:color w:val="000000"/>
      <w:sz w:val="22"/>
      <w:szCs w:val="22"/>
      <w:u w:val="none"/>
    </w:rPr>
  </w:style>
  <w:style w:type="character" w:styleId="1000" w:customStyle="1">
    <w:name w:val="font81"/>
    <w:basedOn w:val="725"/>
    <w:uiPriority w:val="0"/>
    <w:qFormat/>
    <w:rPr>
      <w:rFonts w:hint="eastAsia" w:ascii="宋体" w:hAnsi="宋体" w:eastAsia="宋体" w:cs="宋体"/>
      <w:b/>
      <w:bCs/>
      <w:color w:val="000000"/>
      <w:sz w:val="22"/>
      <w:szCs w:val="22"/>
      <w:u w:val="none"/>
    </w:rPr>
  </w:style>
  <w:style w:type="paragraph" w:styleId="1001" w:customStyle="1">
    <w:name w:val="正文1"/>
    <w:basedOn w:val="1002"/>
    <w:next w:val="1003"/>
    <w:uiPriority w:val="99"/>
    <w:qFormat/>
    <w:pPr>
      <w:jc w:val="both"/>
    </w:pPr>
    <w:rPr>
      <w:rFonts w:ascii="Times New Roman" w:hAnsi="Times New Roman" w:eastAsia="宋体" w:cs="Times New Roman"/>
      <w:sz w:val="21"/>
      <w:szCs w:val="21"/>
      <w:lang w:val="en-US" w:eastAsia="zh-CN" w:bidi="ar-SA"/>
    </w:rPr>
  </w:style>
  <w:style w:type="paragraph" w:styleId="1002" w:customStyle="1">
    <w:name w:val="正文11"/>
    <w:next w:val="1003"/>
    <w:uiPriority w:val="0"/>
    <w:qFormat/>
    <w:pPr>
      <w:jc w:val="both"/>
      <w:widowControl w:val="off"/>
    </w:pPr>
    <w:rPr>
      <w:rFonts w:hint="default" w:ascii="Calibri" w:hAnsi="Calibri" w:eastAsia="宋体" w:cs="Times New Roman"/>
      <w:sz w:val="21"/>
      <w:szCs w:val="24"/>
      <w:lang w:val="en-US" w:eastAsia="zh-CN" w:bidi="ar-SA"/>
    </w:rPr>
  </w:style>
  <w:style w:type="paragraph" w:styleId="1003" w:customStyle="1">
    <w:name w:val="正文文本1"/>
    <w:basedOn w:val="1001"/>
    <w:next w:val="1002"/>
    <w:uiPriority w:val="0"/>
    <w:qFormat/>
    <w:pPr>
      <w:ind w:left="1540"/>
    </w:pPr>
    <w:rPr>
      <w:sz w:val="24"/>
      <w:szCs w:val="24"/>
    </w:rPr>
  </w:style>
  <w:style w:type="paragraph" w:styleId="1004" w:customStyle="1">
    <w:name w:val="首行缩进"/>
    <w:basedOn w:val="715"/>
    <w:uiPriority w:val="0"/>
    <w:qFormat/>
    <w:pPr>
      <w:ind w:firstLine="480"/>
    </w:pPr>
    <w:rPr>
      <w:lang w:val="zh-CN"/>
    </w:rPr>
  </w:style>
  <w:style w:type="paragraph" w:styleId="1005" w:customStyle="1">
    <w:name w:val="列出段落2"/>
    <w:basedOn w:val="715"/>
    <w:uiPriority w:val="34"/>
    <w:qFormat/>
    <w:pPr>
      <w:ind w:firstLine="420"/>
    </w:pPr>
    <w:rPr>
      <w:rFonts w:eastAsia="仿宋"/>
      <w:sz w:val="30"/>
    </w:rPr>
  </w:style>
  <w:style w:type="paragraph" w:styleId="1006" w:customStyle="1">
    <w:name w:val="正文 正文"/>
    <w:basedOn w:val="715"/>
    <w:uiPriority w:val="0"/>
    <w:qFormat/>
    <w:pPr>
      <w:ind w:firstLine="200"/>
      <w:spacing w:before="50" w:after="50" w:line="360" w:lineRule="auto"/>
    </w:pPr>
  </w:style>
  <w:style w:type="paragraph" w:styleId="1007" w:customStyle="1">
    <w:name w:val="修订1"/>
    <w:hidden/>
    <w:uiPriority w:val="99"/>
    <w:unhideWhenUsed/>
    <w:qFormat/>
    <w:rPr>
      <w:rFonts w:ascii="Times New Roman" w:hAnsi="Times New Roman" w:eastAsia="宋体" w:cs="Times New Roman"/>
      <w:sz w:val="21"/>
      <w:szCs w:val="24"/>
      <w:lang w:val="en-US" w:eastAsia="zh-CN" w:bidi="ar-SA"/>
    </w:rPr>
  </w:style>
  <w:style w:type="paragraph" w:styleId="1008" w:customStyle="1">
    <w:name w:val="修订2"/>
    <w:hidden/>
    <w:uiPriority w:val="99"/>
    <w:unhideWhenUsed/>
    <w:qFormat/>
    <w:rPr>
      <w:rFonts w:ascii="Times New Roman" w:hAnsi="Times New Roman" w:eastAsia="宋体" w:cs="Times New Roman"/>
      <w:sz w:val="21"/>
      <w:szCs w:val="24"/>
      <w:lang w:val="en-US" w:eastAsia="zh-CN" w:bidi="ar-SA"/>
    </w:rPr>
  </w:style>
  <w:style w:type="table" w:styleId="1009" w:customStyle="1">
    <w:name w:val="Table Normal"/>
    <w:uiPriority w:val="0"/>
    <w:semiHidden/>
    <w:unhideWhenUsed/>
    <w:qFormat/>
    <w:tblPr>
      <w:tblCellMar>
        <w:left w:w="0" w:type="dxa"/>
        <w:top w:w="0" w:type="dxa"/>
        <w:right w:w="0" w:type="dxa"/>
        <w:bottom w:w="0" w:type="dxa"/>
      </w:tblCellMar>
    </w:tblPr>
  </w:style>
  <w:style w:type="numbering" w:styleId="101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 Id="rId12"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6E68E78C-5E98-47FB-8041-62D88885F524}"/>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MS</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总  目  录</dc:title>
  <dc:creator>cgzx</dc:creator>
  <cp:lastModifiedBy>车玉彩</cp:lastModifiedBy>
  <cp:revision>80</cp:revision>
  <dcterms:created xsi:type="dcterms:W3CDTF">2023-10-09T13:20:00Z</dcterms:created>
  <dcterms:modified xsi:type="dcterms:W3CDTF">2025-12-15T01:44:26Z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2AFE123334DA426EA01065F40C8E7EDD_13</vt:lpwstr>
  </property>
  <property fmtid="{D5CDD505-2E9C-101B-9397-08002B2CF9AE}" pid="4" name="KSOTemplateDocerSaveRecord">
    <vt:lpwstr>eyJoZGlkIjoiOWEwMTNkOGZhYzhmNTBkZTQ3Nzc2ZmExMGVmZWU3ZjkiLCJ1c2VySWQiOiI3NTQ2Nzg5MTIifQ==</vt:lpwstr>
  </property>
</Properties>
</file>